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C0CC" w14:textId="64B7DBCE" w:rsidR="00FF088C" w:rsidRDefault="00FF088C" w:rsidP="00FF088C">
      <w:pPr>
        <w:pStyle w:val="TitreChapitre"/>
        <w:numPr>
          <w:ilvl w:val="0"/>
          <w:numId w:val="2"/>
        </w:numPr>
        <w:jc w:val="center"/>
      </w:pPr>
      <w:r>
        <w:t>Actualités patrimoniales</w:t>
      </w:r>
    </w:p>
    <w:p w14:paraId="5929A242" w14:textId="20C0E321" w:rsidR="001B0DE7" w:rsidRDefault="001B0DE7" w:rsidP="001B0DE7">
      <w:pPr>
        <w:pStyle w:val="CorpsTexte"/>
      </w:pPr>
      <w:r>
        <w:t xml:space="preserve">Nous vous proposons ci-après une synthèse des principales évolutions </w:t>
      </w:r>
      <w:r w:rsidR="002B11FB">
        <w:t>relatives à la loi de finances pour 2024.</w:t>
      </w:r>
    </w:p>
    <w:p w14:paraId="0134A13A" w14:textId="77777777" w:rsidR="000C3C30" w:rsidRDefault="000C3C30" w:rsidP="000C3C30">
      <w:pPr>
        <w:pStyle w:val="Intertitre1"/>
      </w:pPr>
      <w:r>
        <w:t>Impôt sur le revenu</w:t>
      </w:r>
    </w:p>
    <w:p w14:paraId="5B19E331" w14:textId="77777777" w:rsidR="000C3C30" w:rsidRDefault="000C3C30" w:rsidP="000C3C30">
      <w:pPr>
        <w:pStyle w:val="Intertitre2"/>
      </w:pPr>
      <w:r>
        <w:t xml:space="preserve">Calcul de l’impôt </w:t>
      </w:r>
    </w:p>
    <w:p w14:paraId="440E88D8" w14:textId="41C81DA2" w:rsidR="00F84E61" w:rsidRDefault="000C3C30" w:rsidP="00FF088C">
      <w:pPr>
        <w:pStyle w:val="Intertitre3"/>
      </w:pPr>
      <w:r>
        <w:t>Barème de l’impôt sur le revenu et seuils (et limites) associés</w:t>
      </w:r>
    </w:p>
    <w:p w14:paraId="068D1224" w14:textId="31276ED6" w:rsidR="00C86522" w:rsidRDefault="00C86522" w:rsidP="00C86522">
      <w:pPr>
        <w:pStyle w:val="CorpsTexte"/>
      </w:pPr>
      <w:r>
        <w:t>La loi introduit un rehaussement de 4,80 % afin de neutraliser les effets de l’inflation, avec une entrée en vigueur pour l’imposition des revenus 202</w:t>
      </w:r>
      <w:r w:rsidR="00360452">
        <w:t>3</w:t>
      </w:r>
      <w:r w:rsidR="00041D22">
        <w:t>.</w:t>
      </w:r>
    </w:p>
    <w:tbl>
      <w:tblPr>
        <w:tblStyle w:val="Grilledutableau"/>
        <w:tblW w:w="0" w:type="auto"/>
        <w:tblLook w:val="04A0" w:firstRow="1" w:lastRow="0" w:firstColumn="1" w:lastColumn="0" w:noHBand="0" w:noVBand="1"/>
      </w:tblPr>
      <w:tblGrid>
        <w:gridCol w:w="4531"/>
        <w:gridCol w:w="4531"/>
      </w:tblGrid>
      <w:tr w:rsidR="00041D22" w14:paraId="4C4FA6E6" w14:textId="77777777" w:rsidTr="001900D6">
        <w:tc>
          <w:tcPr>
            <w:tcW w:w="4531" w:type="dxa"/>
            <w:shd w:val="clear" w:color="auto" w:fill="44546A" w:themeFill="text2"/>
          </w:tcPr>
          <w:p w14:paraId="6600A82E" w14:textId="11385F09" w:rsidR="00041D22" w:rsidRPr="002E5833" w:rsidRDefault="00D4095A" w:rsidP="0042765F">
            <w:pPr>
              <w:pStyle w:val="CorpsTexte"/>
              <w:jc w:val="center"/>
              <w:rPr>
                <w:color w:val="FFFFFF" w:themeColor="background1"/>
                <w:szCs w:val="21"/>
              </w:rPr>
            </w:pPr>
            <w:r w:rsidRPr="002E5833">
              <w:rPr>
                <w:color w:val="FFFFFF" w:themeColor="background1"/>
                <w:szCs w:val="21"/>
              </w:rPr>
              <w:t>Tranche</w:t>
            </w:r>
          </w:p>
        </w:tc>
        <w:tc>
          <w:tcPr>
            <w:tcW w:w="4531" w:type="dxa"/>
            <w:shd w:val="clear" w:color="auto" w:fill="44546A" w:themeFill="text2"/>
          </w:tcPr>
          <w:p w14:paraId="4240D59C" w14:textId="70E5FF44" w:rsidR="00041D22" w:rsidRPr="002E5833" w:rsidRDefault="00CC1D8E" w:rsidP="0042765F">
            <w:pPr>
              <w:pStyle w:val="CorpsTexte"/>
              <w:jc w:val="center"/>
              <w:rPr>
                <w:color w:val="FFFFFF" w:themeColor="background1"/>
                <w:szCs w:val="21"/>
              </w:rPr>
            </w:pPr>
            <w:r w:rsidRPr="002E5833">
              <w:rPr>
                <w:color w:val="FFFFFF" w:themeColor="background1"/>
                <w:szCs w:val="21"/>
              </w:rPr>
              <w:t>Taux</w:t>
            </w:r>
          </w:p>
        </w:tc>
      </w:tr>
      <w:tr w:rsidR="00887AC1" w14:paraId="419D6726" w14:textId="77777777" w:rsidTr="001900D6">
        <w:tc>
          <w:tcPr>
            <w:tcW w:w="4531" w:type="dxa"/>
          </w:tcPr>
          <w:p w14:paraId="35A784FB" w14:textId="6C1B1762" w:rsidR="00887AC1" w:rsidRPr="002E5833" w:rsidRDefault="00887AC1" w:rsidP="001B0EF5">
            <w:pPr>
              <w:rPr>
                <w:rFonts w:ascii="Trebuchet MS" w:hAnsi="Trebuchet MS" w:cs="Arial"/>
                <w:color w:val="646464"/>
                <w:sz w:val="21"/>
                <w:szCs w:val="21"/>
                <w:shd w:val="clear" w:color="auto" w:fill="FFFFFF"/>
              </w:rPr>
            </w:pPr>
            <w:r w:rsidRPr="002E5833">
              <w:rPr>
                <w:rFonts w:ascii="Trebuchet MS" w:hAnsi="Trebuchet MS" w:cs="Arial"/>
                <w:color w:val="646464"/>
                <w:sz w:val="21"/>
                <w:szCs w:val="21"/>
                <w:shd w:val="clear" w:color="auto" w:fill="FFFFFF"/>
              </w:rPr>
              <w:t>Jusqu’à 11 294 €</w:t>
            </w:r>
          </w:p>
        </w:tc>
        <w:tc>
          <w:tcPr>
            <w:tcW w:w="4531" w:type="dxa"/>
          </w:tcPr>
          <w:p w14:paraId="76A56194" w14:textId="3835F9D1" w:rsidR="00887AC1" w:rsidRPr="002E5833" w:rsidRDefault="00887AC1" w:rsidP="001B0EF5">
            <w:pPr>
              <w:tabs>
                <w:tab w:val="left" w:pos="2783"/>
              </w:tabs>
              <w:rPr>
                <w:rFonts w:ascii="Trebuchet MS" w:hAnsi="Trebuchet MS"/>
                <w:sz w:val="21"/>
                <w:szCs w:val="21"/>
              </w:rPr>
            </w:pPr>
            <w:r w:rsidRPr="002E5833">
              <w:rPr>
                <w:rFonts w:ascii="Trebuchet MS" w:hAnsi="Trebuchet MS" w:cs="Arial"/>
                <w:color w:val="646464"/>
                <w:sz w:val="21"/>
                <w:szCs w:val="21"/>
                <w:shd w:val="clear" w:color="auto" w:fill="FFFFFF"/>
              </w:rPr>
              <w:t>0</w:t>
            </w:r>
          </w:p>
        </w:tc>
      </w:tr>
      <w:tr w:rsidR="00041D22" w14:paraId="4B823BFB" w14:textId="77777777" w:rsidTr="001900D6">
        <w:tc>
          <w:tcPr>
            <w:tcW w:w="4531" w:type="dxa"/>
          </w:tcPr>
          <w:p w14:paraId="26C2AE9B" w14:textId="6E92E2F3" w:rsidR="00041D22" w:rsidRPr="002E5833" w:rsidRDefault="007E4324" w:rsidP="001B0EF5">
            <w:pPr>
              <w:rPr>
                <w:rFonts w:ascii="Trebuchet MS" w:hAnsi="Trebuchet MS"/>
                <w:sz w:val="21"/>
                <w:szCs w:val="21"/>
              </w:rPr>
            </w:pPr>
            <w:r w:rsidRPr="002E5833">
              <w:rPr>
                <w:rFonts w:ascii="Trebuchet MS" w:hAnsi="Trebuchet MS" w:cs="Arial"/>
                <w:color w:val="646464"/>
                <w:sz w:val="21"/>
                <w:szCs w:val="21"/>
                <w:shd w:val="clear" w:color="auto" w:fill="FFFFFF"/>
              </w:rPr>
              <w:t>De 11 295 € à 28 797 €</w:t>
            </w:r>
          </w:p>
        </w:tc>
        <w:tc>
          <w:tcPr>
            <w:tcW w:w="4531" w:type="dxa"/>
          </w:tcPr>
          <w:p w14:paraId="15B13D1D" w14:textId="3377CE02" w:rsidR="00041D22" w:rsidRPr="002E5833" w:rsidRDefault="007E4324" w:rsidP="001B0EF5">
            <w:pPr>
              <w:rPr>
                <w:rFonts w:ascii="Trebuchet MS" w:hAnsi="Trebuchet MS" w:cs="Arial"/>
                <w:color w:val="646464"/>
                <w:sz w:val="21"/>
                <w:szCs w:val="21"/>
              </w:rPr>
            </w:pPr>
            <w:r w:rsidRPr="002E5833">
              <w:rPr>
                <w:rFonts w:ascii="Trebuchet MS" w:hAnsi="Trebuchet MS" w:cs="Arial"/>
                <w:color w:val="646464"/>
                <w:sz w:val="21"/>
                <w:szCs w:val="21"/>
              </w:rPr>
              <w:t>11 %</w:t>
            </w:r>
          </w:p>
        </w:tc>
      </w:tr>
      <w:tr w:rsidR="00041D22" w14:paraId="1154BF85" w14:textId="77777777" w:rsidTr="001900D6">
        <w:tc>
          <w:tcPr>
            <w:tcW w:w="4531" w:type="dxa"/>
          </w:tcPr>
          <w:p w14:paraId="5E43D9BC" w14:textId="2FA67106" w:rsidR="00041D22" w:rsidRPr="002E5833" w:rsidRDefault="007E4324" w:rsidP="001B0EF5">
            <w:pPr>
              <w:rPr>
                <w:rFonts w:ascii="Trebuchet MS" w:hAnsi="Trebuchet MS"/>
                <w:sz w:val="21"/>
                <w:szCs w:val="21"/>
              </w:rPr>
            </w:pPr>
            <w:r w:rsidRPr="002E5833">
              <w:rPr>
                <w:rFonts w:ascii="Trebuchet MS" w:hAnsi="Trebuchet MS" w:cs="Arial"/>
                <w:color w:val="646464"/>
                <w:sz w:val="21"/>
                <w:szCs w:val="21"/>
                <w:shd w:val="clear" w:color="auto" w:fill="FFFFFF"/>
              </w:rPr>
              <w:t>De 28 798 € à 82 341 €</w:t>
            </w:r>
          </w:p>
        </w:tc>
        <w:tc>
          <w:tcPr>
            <w:tcW w:w="4531" w:type="dxa"/>
          </w:tcPr>
          <w:p w14:paraId="6C04DB0F" w14:textId="20E50D7A" w:rsidR="00041D22" w:rsidRPr="002E5833" w:rsidRDefault="007E4324" w:rsidP="001B0EF5">
            <w:pPr>
              <w:rPr>
                <w:rFonts w:ascii="Trebuchet MS" w:hAnsi="Trebuchet MS" w:cs="Arial"/>
                <w:color w:val="646464"/>
                <w:sz w:val="21"/>
                <w:szCs w:val="21"/>
              </w:rPr>
            </w:pPr>
            <w:r w:rsidRPr="002E5833">
              <w:rPr>
                <w:rFonts w:ascii="Trebuchet MS" w:hAnsi="Trebuchet MS" w:cs="Arial"/>
                <w:color w:val="646464"/>
                <w:sz w:val="21"/>
                <w:szCs w:val="21"/>
              </w:rPr>
              <w:t>30 %</w:t>
            </w:r>
          </w:p>
        </w:tc>
      </w:tr>
      <w:tr w:rsidR="00041D22" w14:paraId="69FBDDCB" w14:textId="77777777" w:rsidTr="001900D6">
        <w:tc>
          <w:tcPr>
            <w:tcW w:w="4531" w:type="dxa"/>
          </w:tcPr>
          <w:p w14:paraId="7B440889" w14:textId="427EC598" w:rsidR="00041D22" w:rsidRPr="002E5833" w:rsidRDefault="00887AC1" w:rsidP="001B0EF5">
            <w:pPr>
              <w:tabs>
                <w:tab w:val="left" w:pos="3055"/>
              </w:tabs>
              <w:rPr>
                <w:rFonts w:ascii="Trebuchet MS" w:hAnsi="Trebuchet MS"/>
                <w:sz w:val="21"/>
                <w:szCs w:val="21"/>
              </w:rPr>
            </w:pPr>
            <w:r w:rsidRPr="002E5833">
              <w:rPr>
                <w:rFonts w:ascii="Trebuchet MS" w:hAnsi="Trebuchet MS" w:cs="Arial"/>
                <w:color w:val="646464"/>
                <w:sz w:val="21"/>
                <w:szCs w:val="21"/>
                <w:shd w:val="clear" w:color="auto" w:fill="FFFFFF"/>
              </w:rPr>
              <w:t>De 82 342 € à 177 106 €</w:t>
            </w:r>
          </w:p>
        </w:tc>
        <w:tc>
          <w:tcPr>
            <w:tcW w:w="4531" w:type="dxa"/>
          </w:tcPr>
          <w:p w14:paraId="7C086AF3" w14:textId="15E7B598" w:rsidR="00041D22" w:rsidRPr="002E5833" w:rsidRDefault="00887AC1" w:rsidP="001B0EF5">
            <w:pPr>
              <w:rPr>
                <w:rFonts w:ascii="Trebuchet MS" w:hAnsi="Trebuchet MS"/>
                <w:sz w:val="21"/>
                <w:szCs w:val="21"/>
              </w:rPr>
            </w:pPr>
            <w:r w:rsidRPr="002E5833">
              <w:rPr>
                <w:rFonts w:ascii="Trebuchet MS" w:hAnsi="Trebuchet MS" w:cs="Arial"/>
                <w:color w:val="646464"/>
                <w:sz w:val="21"/>
                <w:szCs w:val="21"/>
                <w:shd w:val="clear" w:color="auto" w:fill="FFFFFF"/>
              </w:rPr>
              <w:t>41 %</w:t>
            </w:r>
          </w:p>
        </w:tc>
      </w:tr>
      <w:tr w:rsidR="00041D22" w14:paraId="4E12F44D" w14:textId="77777777" w:rsidTr="001900D6">
        <w:tc>
          <w:tcPr>
            <w:tcW w:w="4531" w:type="dxa"/>
          </w:tcPr>
          <w:p w14:paraId="7E7895C6" w14:textId="25314C6F" w:rsidR="00041D22" w:rsidRPr="002E5833" w:rsidRDefault="00887AC1" w:rsidP="001B0EF5">
            <w:pPr>
              <w:rPr>
                <w:rFonts w:ascii="Trebuchet MS" w:hAnsi="Trebuchet MS"/>
                <w:sz w:val="21"/>
                <w:szCs w:val="21"/>
              </w:rPr>
            </w:pPr>
            <w:r w:rsidRPr="002E5833">
              <w:rPr>
                <w:rFonts w:ascii="Trebuchet MS" w:hAnsi="Trebuchet MS" w:cs="Arial"/>
                <w:color w:val="646464"/>
                <w:sz w:val="21"/>
                <w:szCs w:val="21"/>
                <w:shd w:val="clear" w:color="auto" w:fill="FFFFFF"/>
              </w:rPr>
              <w:t>Plus de 177 107 €</w:t>
            </w:r>
          </w:p>
        </w:tc>
        <w:tc>
          <w:tcPr>
            <w:tcW w:w="4531" w:type="dxa"/>
          </w:tcPr>
          <w:p w14:paraId="7316D5BF" w14:textId="7083D694" w:rsidR="00041D22" w:rsidRPr="002E5833" w:rsidRDefault="00887AC1" w:rsidP="001B0EF5">
            <w:pPr>
              <w:rPr>
                <w:rFonts w:ascii="Trebuchet MS" w:hAnsi="Trebuchet MS"/>
                <w:sz w:val="21"/>
                <w:szCs w:val="21"/>
              </w:rPr>
            </w:pPr>
            <w:r w:rsidRPr="002E5833">
              <w:rPr>
                <w:rFonts w:ascii="Trebuchet MS" w:hAnsi="Trebuchet MS" w:cs="Arial"/>
                <w:color w:val="646464"/>
                <w:sz w:val="21"/>
                <w:szCs w:val="21"/>
                <w:shd w:val="clear" w:color="auto" w:fill="FFFFFF"/>
              </w:rPr>
              <w:t>45 %</w:t>
            </w:r>
          </w:p>
        </w:tc>
      </w:tr>
    </w:tbl>
    <w:p w14:paraId="4B4F62A4" w14:textId="77777777" w:rsidR="00C86522" w:rsidRDefault="00C86522" w:rsidP="00FF088C"/>
    <w:p w14:paraId="3D95CEAB" w14:textId="084D78C9" w:rsidR="00617307" w:rsidRDefault="00617307" w:rsidP="00C30FB1">
      <w:pPr>
        <w:pStyle w:val="Intertitre2"/>
      </w:pPr>
      <w:r>
        <w:t>Réduction d’i</w:t>
      </w:r>
      <w:r w:rsidR="00E229F1">
        <w:t xml:space="preserve">mpôt </w:t>
      </w:r>
    </w:p>
    <w:p w14:paraId="52262B79" w14:textId="3525A199" w:rsidR="00E229F1" w:rsidRDefault="00ED610D" w:rsidP="00ED610D">
      <w:pPr>
        <w:pStyle w:val="Intertitre3"/>
      </w:pPr>
      <w:r w:rsidRPr="00ED610D">
        <w:t>Ex</w:t>
      </w:r>
      <w:r w:rsidR="002E5833">
        <w:t>tension</w:t>
      </w:r>
      <w:r w:rsidRPr="00ED610D">
        <w:t xml:space="preserve"> de la réduction d’impôt en cas de versement de prime sur les contrats rente-survie</w:t>
      </w:r>
    </w:p>
    <w:p w14:paraId="047D82A0" w14:textId="79BCFD5D" w:rsidR="00ED610D" w:rsidRDefault="00ED610D" w:rsidP="00ED610D">
      <w:pPr>
        <w:pStyle w:val="CorpsTexte"/>
      </w:pPr>
      <w:r w:rsidRPr="00ED610D">
        <w:t>Les versements de prime sur les contrats « rente-survie » ouvrent droit à une réduction d’impôt de 25 % du montant des primes, retenues dans la limite de 1 525 € par an. Cette limite peut être majorée de 300 € par enfant à charge.</w:t>
      </w:r>
    </w:p>
    <w:p w14:paraId="00E93A4D" w14:textId="7E3D13F9" w:rsidR="00BF5B46" w:rsidRDefault="00BF5B46" w:rsidP="00ED610D">
      <w:pPr>
        <w:pStyle w:val="CorpsTexte"/>
      </w:pPr>
      <w:r w:rsidRPr="00BF5B46">
        <w:t>À compter du 1er janvier 2024, cette limite est également majorée de 300 € en présence de personnes à charge (notamment en cas d’ascendant à charge).</w:t>
      </w:r>
    </w:p>
    <w:p w14:paraId="258B1B00" w14:textId="77777777" w:rsidR="002E5833" w:rsidRDefault="002E5833">
      <w:pPr>
        <w:rPr>
          <w:rFonts w:ascii="Trebuchet MS" w:eastAsia="Trebuchet MS" w:hAnsi="Trebuchet MS" w:cs="Times New Roman"/>
          <w:color w:val="577188"/>
          <w:kern w:val="0"/>
          <w:sz w:val="21"/>
          <w:szCs w:val="20"/>
          <w:u w:val="single"/>
          <w:shd w:val="clear" w:color="auto" w:fill="FFFFFF"/>
          <w:lang w:eastAsia="fr-FR"/>
          <w14:ligatures w14:val="none"/>
        </w:rPr>
      </w:pPr>
      <w:r>
        <w:rPr>
          <w:shd w:val="clear" w:color="auto" w:fill="FFFFFF"/>
        </w:rPr>
        <w:br w:type="page"/>
      </w:r>
    </w:p>
    <w:p w14:paraId="664E86FD" w14:textId="7FB54AF0" w:rsidR="0001128E" w:rsidRPr="002E5833" w:rsidRDefault="00E317EA" w:rsidP="00E317EA">
      <w:pPr>
        <w:pStyle w:val="Intertitre3"/>
      </w:pPr>
      <w:r>
        <w:rPr>
          <w:shd w:val="clear" w:color="auto" w:fill="FFFFFF"/>
        </w:rPr>
        <w:lastRenderedPageBreak/>
        <w:t>Aménagement</w:t>
      </w:r>
      <w:r w:rsidR="00096BCA">
        <w:rPr>
          <w:shd w:val="clear" w:color="auto" w:fill="FFFFFF"/>
        </w:rPr>
        <w:t>s</w:t>
      </w:r>
      <w:r>
        <w:rPr>
          <w:shd w:val="clear" w:color="auto" w:fill="FFFFFF"/>
        </w:rPr>
        <w:t xml:space="preserve"> </w:t>
      </w:r>
      <w:r w:rsidR="002E5833">
        <w:rPr>
          <w:shd w:val="clear" w:color="auto" w:fill="FFFFFF"/>
        </w:rPr>
        <w:t xml:space="preserve">de la </w:t>
      </w:r>
      <w:r>
        <w:rPr>
          <w:shd w:val="clear" w:color="auto" w:fill="FFFFFF"/>
        </w:rPr>
        <w:t>réduction d’impôt Madelin pour souscription au capital de PME </w:t>
      </w:r>
    </w:p>
    <w:p w14:paraId="61EC8BD1" w14:textId="6E95D26B" w:rsidR="002E5833" w:rsidRPr="00F123C4" w:rsidRDefault="002E5833" w:rsidP="00F123C4">
      <w:pPr>
        <w:pStyle w:val="CorpsTexte"/>
        <w:rPr>
          <w:u w:val="single"/>
        </w:rPr>
      </w:pPr>
      <w:r w:rsidRPr="00F123C4">
        <w:rPr>
          <w:u w:val="single"/>
          <w:shd w:val="clear" w:color="auto" w:fill="FFFFFF"/>
        </w:rPr>
        <w:t>Nouveau régime pour les Jeunes Entreprises Innovantes (JEI)</w:t>
      </w:r>
      <w:r w:rsidR="00F123C4">
        <w:rPr>
          <w:u w:val="single"/>
          <w:shd w:val="clear" w:color="auto" w:fill="FFFFFF"/>
        </w:rPr>
        <w:t> :</w:t>
      </w:r>
    </w:p>
    <w:p w14:paraId="6B1AA6BC" w14:textId="532EB64B" w:rsidR="00F37C66" w:rsidRPr="00F37C66" w:rsidRDefault="00F37C66" w:rsidP="00F37C66">
      <w:pPr>
        <w:pStyle w:val="CorpsTexte"/>
      </w:pPr>
      <w:r w:rsidRPr="00F37C66">
        <w:t xml:space="preserve">La réduction d’impôt pour souscription au capital de PME est aménagée pour les souscriptions au capital de JEI pour les souscriptions </w:t>
      </w:r>
      <w:r w:rsidR="00F123C4">
        <w:t xml:space="preserve">réalisées </w:t>
      </w:r>
      <w:r w:rsidRPr="00F37C66">
        <w:t>entre le 1er janvier 2024 et le 31 décembre 2028.</w:t>
      </w:r>
    </w:p>
    <w:tbl>
      <w:tblPr>
        <w:tblStyle w:val="Grilledutableau"/>
        <w:tblW w:w="0" w:type="auto"/>
        <w:tblLook w:val="04A0" w:firstRow="1" w:lastRow="0" w:firstColumn="1" w:lastColumn="0" w:noHBand="0" w:noVBand="1"/>
      </w:tblPr>
      <w:tblGrid>
        <w:gridCol w:w="3020"/>
        <w:gridCol w:w="3021"/>
        <w:gridCol w:w="3021"/>
      </w:tblGrid>
      <w:tr w:rsidR="008332ED" w14:paraId="171FCC98" w14:textId="77777777" w:rsidTr="0005205A">
        <w:tc>
          <w:tcPr>
            <w:tcW w:w="3020" w:type="dxa"/>
            <w:shd w:val="clear" w:color="auto" w:fill="44546A" w:themeFill="text2"/>
          </w:tcPr>
          <w:p w14:paraId="0EC0F543" w14:textId="66AA195E" w:rsidR="008332ED" w:rsidRPr="00BD10FC" w:rsidRDefault="008332ED" w:rsidP="008332ED">
            <w:pPr>
              <w:pStyle w:val="CorpsTexte"/>
              <w:jc w:val="center"/>
              <w:rPr>
                <w:color w:val="FFFFFF" w:themeColor="background1"/>
              </w:rPr>
            </w:pPr>
            <w:r w:rsidRPr="00BD10FC">
              <w:rPr>
                <w:color w:val="FFFFFF" w:themeColor="background1"/>
              </w:rPr>
              <w:t>Conditions</w:t>
            </w:r>
          </w:p>
        </w:tc>
        <w:tc>
          <w:tcPr>
            <w:tcW w:w="3021" w:type="dxa"/>
            <w:shd w:val="clear" w:color="auto" w:fill="44546A" w:themeFill="text2"/>
          </w:tcPr>
          <w:p w14:paraId="1B8DB36E" w14:textId="1435E809" w:rsidR="008332ED" w:rsidRPr="00BD10FC" w:rsidRDefault="008332ED" w:rsidP="008332ED">
            <w:pPr>
              <w:pStyle w:val="CorpsTexte"/>
              <w:jc w:val="center"/>
              <w:rPr>
                <w:color w:val="FFFFFF" w:themeColor="background1"/>
              </w:rPr>
            </w:pPr>
            <w:r w:rsidRPr="00BD10FC">
              <w:rPr>
                <w:color w:val="FFFFFF" w:themeColor="background1"/>
              </w:rPr>
              <w:t>Taux de la réduction</w:t>
            </w:r>
          </w:p>
        </w:tc>
        <w:tc>
          <w:tcPr>
            <w:tcW w:w="3021" w:type="dxa"/>
            <w:shd w:val="clear" w:color="auto" w:fill="44546A" w:themeFill="text2"/>
          </w:tcPr>
          <w:p w14:paraId="26293D42" w14:textId="1E433ADD" w:rsidR="008332ED" w:rsidRPr="00BD10FC" w:rsidRDefault="008332ED" w:rsidP="008332ED">
            <w:pPr>
              <w:pStyle w:val="CorpsTexte"/>
              <w:jc w:val="center"/>
              <w:rPr>
                <w:color w:val="FFFFFF" w:themeColor="background1"/>
              </w:rPr>
            </w:pPr>
            <w:r w:rsidRPr="00BD10FC">
              <w:rPr>
                <w:color w:val="FFFFFF" w:themeColor="background1"/>
              </w:rPr>
              <w:t>Limite</w:t>
            </w:r>
          </w:p>
        </w:tc>
      </w:tr>
      <w:tr w:rsidR="008332ED" w14:paraId="21F7632E" w14:textId="77777777" w:rsidTr="000237F3">
        <w:tc>
          <w:tcPr>
            <w:tcW w:w="3020" w:type="dxa"/>
          </w:tcPr>
          <w:p w14:paraId="5575807D" w14:textId="77777777" w:rsidR="002E5833" w:rsidRDefault="002E5833" w:rsidP="005B307F">
            <w:pPr>
              <w:pStyle w:val="CorpsTexte"/>
              <w:jc w:val="center"/>
            </w:pPr>
          </w:p>
          <w:p w14:paraId="39F89EDD" w14:textId="17CF1D1F" w:rsidR="008332ED" w:rsidRDefault="005B307F" w:rsidP="002E5833">
            <w:pPr>
              <w:pStyle w:val="CorpsTexte"/>
            </w:pPr>
            <w:r w:rsidRPr="005B307F">
              <w:t>Souscription au capital d’une JEI (CGI art. 199 terdecies-0 A bis)</w:t>
            </w:r>
          </w:p>
        </w:tc>
        <w:tc>
          <w:tcPr>
            <w:tcW w:w="3021" w:type="dxa"/>
            <w:vAlign w:val="center"/>
          </w:tcPr>
          <w:p w14:paraId="11F34E3E" w14:textId="127A8895" w:rsidR="008332ED" w:rsidRPr="005B307F" w:rsidRDefault="005B307F" w:rsidP="000237F3">
            <w:pPr>
              <w:pStyle w:val="CorpsTexte"/>
              <w:spacing w:line="720" w:lineRule="auto"/>
              <w:jc w:val="center"/>
            </w:pPr>
            <w:r w:rsidRPr="005B307F">
              <w:t>30 %</w:t>
            </w:r>
          </w:p>
        </w:tc>
        <w:tc>
          <w:tcPr>
            <w:tcW w:w="3021" w:type="dxa"/>
          </w:tcPr>
          <w:p w14:paraId="544E5A7F" w14:textId="77777777" w:rsidR="002E5833" w:rsidRDefault="005B307F" w:rsidP="005B307F">
            <w:pPr>
              <w:pStyle w:val="CorpsTexte"/>
              <w:jc w:val="center"/>
            </w:pPr>
            <w:r w:rsidRPr="005B307F">
              <w:t xml:space="preserve">Versement maximum : </w:t>
            </w:r>
          </w:p>
          <w:p w14:paraId="4C81217A" w14:textId="3FBDEAA5" w:rsidR="002E5833" w:rsidRDefault="005B307F" w:rsidP="005B307F">
            <w:pPr>
              <w:pStyle w:val="CorpsTexte"/>
              <w:jc w:val="center"/>
            </w:pPr>
            <w:r w:rsidRPr="005B307F">
              <w:t xml:space="preserve">75 000 € pour les contribuables célibataires, veufs ou divorcés </w:t>
            </w:r>
          </w:p>
          <w:p w14:paraId="3E0D5EB7" w14:textId="3BE49DA9" w:rsidR="008332ED" w:rsidRPr="005B307F" w:rsidRDefault="005B307F" w:rsidP="005B307F">
            <w:pPr>
              <w:pStyle w:val="CorpsTexte"/>
              <w:jc w:val="center"/>
            </w:pPr>
            <w:r w:rsidRPr="005B307F">
              <w:t>150 000 € pour les couples ayant une imposition commune</w:t>
            </w:r>
          </w:p>
        </w:tc>
      </w:tr>
      <w:tr w:rsidR="008332ED" w14:paraId="228218A1" w14:textId="77777777" w:rsidTr="000237F3">
        <w:tc>
          <w:tcPr>
            <w:tcW w:w="3020" w:type="dxa"/>
          </w:tcPr>
          <w:p w14:paraId="0252E881" w14:textId="77777777" w:rsidR="002E5833" w:rsidRDefault="002E5833" w:rsidP="00407DD5">
            <w:pPr>
              <w:pStyle w:val="CorpsTexte"/>
              <w:jc w:val="center"/>
            </w:pPr>
          </w:p>
          <w:p w14:paraId="2AA4A73E" w14:textId="703A2965" w:rsidR="008332ED" w:rsidRPr="00407DD5" w:rsidRDefault="00407DD5" w:rsidP="00407DD5">
            <w:pPr>
              <w:pStyle w:val="CorpsTexte"/>
              <w:jc w:val="center"/>
            </w:pPr>
            <w:r w:rsidRPr="00407DD5">
              <w:t>Souscription au capital d’une JEI qui réalise des dépenses de recherche représentant au moins 30 % de ses charges (CGI art. 199 terdecies-0 A ter)</w:t>
            </w:r>
          </w:p>
        </w:tc>
        <w:tc>
          <w:tcPr>
            <w:tcW w:w="3021" w:type="dxa"/>
            <w:vAlign w:val="center"/>
          </w:tcPr>
          <w:p w14:paraId="09B0AC99" w14:textId="23CE3CB8" w:rsidR="008332ED" w:rsidRDefault="00407DD5" w:rsidP="000237F3">
            <w:pPr>
              <w:pStyle w:val="CorpsTexte"/>
              <w:jc w:val="center"/>
            </w:pPr>
            <w:r w:rsidRPr="00407DD5">
              <w:t>50 %</w:t>
            </w:r>
          </w:p>
        </w:tc>
        <w:tc>
          <w:tcPr>
            <w:tcW w:w="3021" w:type="dxa"/>
          </w:tcPr>
          <w:p w14:paraId="6109D0A8" w14:textId="77777777" w:rsidR="002E5833" w:rsidRDefault="00407DD5" w:rsidP="00407DD5">
            <w:pPr>
              <w:pStyle w:val="CorpsTexte"/>
              <w:jc w:val="center"/>
            </w:pPr>
            <w:r w:rsidRPr="00407DD5">
              <w:t xml:space="preserve">Versement maximum : </w:t>
            </w:r>
          </w:p>
          <w:p w14:paraId="56F0D577" w14:textId="73DF8B4A" w:rsidR="002E5833" w:rsidRDefault="00407DD5" w:rsidP="00407DD5">
            <w:pPr>
              <w:pStyle w:val="CorpsTexte"/>
              <w:jc w:val="center"/>
            </w:pPr>
            <w:r w:rsidRPr="00407DD5">
              <w:t xml:space="preserve">50 000 € pour les contribuables célibataires, veufs ou divorcés </w:t>
            </w:r>
          </w:p>
          <w:p w14:paraId="59DA3077" w14:textId="6C1AB078" w:rsidR="008332ED" w:rsidRPr="00407DD5" w:rsidRDefault="00407DD5" w:rsidP="00407DD5">
            <w:pPr>
              <w:pStyle w:val="CorpsTexte"/>
              <w:jc w:val="center"/>
            </w:pPr>
            <w:r w:rsidRPr="00407DD5">
              <w:t>100 000 € pour les couples ayant une imposition commune</w:t>
            </w:r>
          </w:p>
        </w:tc>
      </w:tr>
    </w:tbl>
    <w:p w14:paraId="3FF01533" w14:textId="750D7195" w:rsidR="00E317EA" w:rsidRPr="002E5833" w:rsidRDefault="002E5833" w:rsidP="00A248A4">
      <w:pPr>
        <w:pStyle w:val="CorpsTexte"/>
        <w:rPr>
          <w:b/>
          <w:bCs/>
        </w:rPr>
      </w:pPr>
      <w:r w:rsidRPr="002E5833">
        <w:rPr>
          <w:b/>
          <w:bCs/>
        </w:rPr>
        <w:t>Ces</w:t>
      </w:r>
      <w:r w:rsidR="00A248A4" w:rsidRPr="002E5833">
        <w:rPr>
          <w:b/>
          <w:bCs/>
        </w:rPr>
        <w:t xml:space="preserve"> avantages sont exclus du plafonnement des niches fiscales</w:t>
      </w:r>
      <w:r w:rsidRPr="002E5833">
        <w:rPr>
          <w:b/>
          <w:bCs/>
        </w:rPr>
        <w:t>.</w:t>
      </w:r>
    </w:p>
    <w:p w14:paraId="04A5F471" w14:textId="77777777" w:rsidR="00C879A4" w:rsidRPr="00C879A4" w:rsidRDefault="00C879A4" w:rsidP="00C879A4">
      <w:pPr>
        <w:pStyle w:val="CorpsTexte"/>
      </w:pPr>
      <w:r w:rsidRPr="00C879A4">
        <w:rPr>
          <w:rStyle w:val="fd-update"/>
        </w:rPr>
        <w:t>Le total de réduction acquis au titre de la souscription au capital des JEI ouvrant droit à la réduction d’impôt de 30 % ou de 50 % entre le 1er janvier 2024 et le 31 décembre 2028 ne peut pas dépasser 50 000 €.</w:t>
      </w:r>
    </w:p>
    <w:p w14:paraId="1D1B605C" w14:textId="0A50D949" w:rsidR="00C879A4" w:rsidRDefault="00C879A4" w:rsidP="00A248A4">
      <w:pPr>
        <w:pStyle w:val="CorpsTexte"/>
      </w:pPr>
      <w:r w:rsidRPr="00C879A4">
        <w:t>En cas de dépassement du plafond de 75 000 ou 50 000 €, le versement n’est pas reportable sur les années suivantes.</w:t>
      </w:r>
      <w:r w:rsidR="00F13CB6">
        <w:t xml:space="preserve"> </w:t>
      </w:r>
    </w:p>
    <w:p w14:paraId="1CEEF709" w14:textId="589F91E4" w:rsidR="00F123C4" w:rsidRDefault="00F123C4" w:rsidP="00A248A4">
      <w:pPr>
        <w:pStyle w:val="CorpsTexte"/>
        <w:rPr>
          <w:u w:val="single"/>
          <w:shd w:val="clear" w:color="auto" w:fill="FFFFFF"/>
        </w:rPr>
      </w:pPr>
      <w:r w:rsidRPr="00F123C4">
        <w:rPr>
          <w:u w:val="single"/>
          <w:shd w:val="clear" w:color="auto" w:fill="FFFFFF"/>
        </w:rPr>
        <w:t>Autres investissements dans les PME :</w:t>
      </w:r>
    </w:p>
    <w:p w14:paraId="2555A149" w14:textId="10DCB5EE" w:rsidR="00096BCA" w:rsidRDefault="00096BCA" w:rsidP="00096BCA">
      <w:pPr>
        <w:pStyle w:val="CorpsTexte"/>
      </w:pPr>
      <w:r>
        <w:t xml:space="preserve">Le taux </w:t>
      </w:r>
      <w:r>
        <w:t xml:space="preserve">de réduction d’impôt </w:t>
      </w:r>
      <w:r>
        <w:t xml:space="preserve">majoré à 25 % (au lieu de 18 %) </w:t>
      </w:r>
      <w:r>
        <w:t xml:space="preserve">est prorogé </w:t>
      </w:r>
      <w:r>
        <w:t xml:space="preserve">en 2024 et 2025 uniquement </w:t>
      </w:r>
      <w:r>
        <w:t>pour les</w:t>
      </w:r>
      <w:r>
        <w:t xml:space="preserve"> investissements réalisés dans les sociétés foncières solidaires et dans les entreprises solidaires d'utilité sociale (ESUS). </w:t>
      </w:r>
    </w:p>
    <w:p w14:paraId="7CF4ED93" w14:textId="29F289DC" w:rsidR="00096BCA" w:rsidRDefault="00096BCA" w:rsidP="00096BCA">
      <w:pPr>
        <w:pStyle w:val="CorpsTexte"/>
      </w:pPr>
      <w:r>
        <w:t xml:space="preserve">Attention, </w:t>
      </w:r>
      <w:r>
        <w:t>cette</w:t>
      </w:r>
      <w:r>
        <w:t xml:space="preserve"> majoration de taux (25 % au lieu de 18 %) s'applique dès le 01/01/2024 pour les investissements dans les sociétés foncières solidaires et à compter d'une date fixée par décret (et après approbation de la Commission européenne) pour les ESUS.</w:t>
      </w:r>
    </w:p>
    <w:p w14:paraId="0B0CD34D" w14:textId="77777777" w:rsidR="00F123C4" w:rsidRPr="00F123C4" w:rsidRDefault="00F123C4" w:rsidP="00A248A4">
      <w:pPr>
        <w:pStyle w:val="CorpsTexte"/>
        <w:rPr>
          <w:u w:val="single"/>
          <w:shd w:val="clear" w:color="auto" w:fill="FFFFFF"/>
        </w:rPr>
      </w:pPr>
    </w:p>
    <w:p w14:paraId="1EF53464" w14:textId="77777777" w:rsidR="00F123C4" w:rsidRDefault="00F123C4">
      <w:pPr>
        <w:rPr>
          <w:rFonts w:ascii="Trebuchet MS" w:eastAsia="Trebuchet MS" w:hAnsi="Trebuchet MS" w:cs="Times New Roman"/>
          <w:b/>
          <w:color w:val="577188"/>
          <w:kern w:val="0"/>
          <w:sz w:val="28"/>
          <w:szCs w:val="20"/>
          <w:lang w:eastAsia="fr-FR"/>
          <w14:ligatures w14:val="none"/>
        </w:rPr>
      </w:pPr>
      <w:r>
        <w:br w:type="page"/>
      </w:r>
    </w:p>
    <w:p w14:paraId="3589C4F4" w14:textId="6DE1AAA9" w:rsidR="00F33624" w:rsidRDefault="0045233F" w:rsidP="00C966F8">
      <w:pPr>
        <w:pStyle w:val="Intertitre2"/>
      </w:pPr>
      <w:r>
        <w:lastRenderedPageBreak/>
        <w:t xml:space="preserve">Revenus immobiliers </w:t>
      </w:r>
    </w:p>
    <w:p w14:paraId="61437CE5" w14:textId="6908C9A7" w:rsidR="00E30A98" w:rsidRDefault="0013095B" w:rsidP="00C966F8">
      <w:pPr>
        <w:pStyle w:val="Intertitre3"/>
        <w:numPr>
          <w:ilvl w:val="0"/>
          <w:numId w:val="0"/>
        </w:numPr>
        <w:jc w:val="both"/>
      </w:pPr>
      <w:r>
        <w:t>Location meublée</w:t>
      </w:r>
      <w:r w:rsidR="00096BCA">
        <w:t> : refonte des seuils et abattements à compter de l’imposition des revenus 2023</w:t>
      </w:r>
    </w:p>
    <w:p w14:paraId="5E984BAE" w14:textId="77777777" w:rsidR="00096BCA" w:rsidRDefault="00096BCA" w:rsidP="00096BCA">
      <w:pPr>
        <w:pStyle w:val="Intertitre3"/>
        <w:numPr>
          <w:ilvl w:val="0"/>
          <w:numId w:val="0"/>
        </w:numPr>
      </w:pPr>
    </w:p>
    <w:tbl>
      <w:tblPr>
        <w:tblStyle w:val="Grilledutableau"/>
        <w:tblW w:w="0" w:type="auto"/>
        <w:tblLook w:val="04A0" w:firstRow="1" w:lastRow="0" w:firstColumn="1" w:lastColumn="0" w:noHBand="0" w:noVBand="1"/>
      </w:tblPr>
      <w:tblGrid>
        <w:gridCol w:w="3020"/>
        <w:gridCol w:w="3021"/>
        <w:gridCol w:w="3021"/>
      </w:tblGrid>
      <w:tr w:rsidR="007E71CC" w14:paraId="5B4990FA" w14:textId="77777777" w:rsidTr="007E71CC">
        <w:tc>
          <w:tcPr>
            <w:tcW w:w="3020" w:type="dxa"/>
            <w:shd w:val="clear" w:color="auto" w:fill="44546A" w:themeFill="text2"/>
          </w:tcPr>
          <w:p w14:paraId="4D7620D5" w14:textId="687D7C7B" w:rsidR="007E71CC" w:rsidRPr="007E71CC" w:rsidRDefault="007E71CC" w:rsidP="007E71CC">
            <w:pPr>
              <w:pStyle w:val="CorpsTexte"/>
              <w:jc w:val="center"/>
              <w:rPr>
                <w:color w:val="FFFFFF" w:themeColor="background1"/>
              </w:rPr>
            </w:pPr>
            <w:r w:rsidRPr="007E71CC">
              <w:rPr>
                <w:color w:val="FFFFFF" w:themeColor="background1"/>
              </w:rPr>
              <w:t>Type de location</w:t>
            </w:r>
          </w:p>
        </w:tc>
        <w:tc>
          <w:tcPr>
            <w:tcW w:w="3021" w:type="dxa"/>
            <w:shd w:val="clear" w:color="auto" w:fill="44546A" w:themeFill="text2"/>
          </w:tcPr>
          <w:p w14:paraId="47D67900" w14:textId="2ED68158" w:rsidR="007E71CC" w:rsidRPr="007E71CC" w:rsidRDefault="007E71CC" w:rsidP="007E71CC">
            <w:pPr>
              <w:pStyle w:val="CorpsTexte"/>
              <w:jc w:val="center"/>
              <w:rPr>
                <w:color w:val="FFFFFF" w:themeColor="background1"/>
              </w:rPr>
            </w:pPr>
            <w:r w:rsidRPr="007E71CC">
              <w:rPr>
                <w:color w:val="FFFFFF" w:themeColor="background1"/>
              </w:rPr>
              <w:t>Seuil du Micro BIC</w:t>
            </w:r>
            <w:r w:rsidR="00096BCA">
              <w:rPr>
                <w:color w:val="FFFFFF" w:themeColor="background1"/>
              </w:rPr>
              <w:t xml:space="preserve"> en base annuelle</w:t>
            </w:r>
          </w:p>
        </w:tc>
        <w:tc>
          <w:tcPr>
            <w:tcW w:w="3021" w:type="dxa"/>
            <w:shd w:val="clear" w:color="auto" w:fill="44546A" w:themeFill="text2"/>
          </w:tcPr>
          <w:p w14:paraId="09ECC4E1" w14:textId="4CDA3BFE" w:rsidR="007E71CC" w:rsidRPr="007E71CC" w:rsidRDefault="007E71CC" w:rsidP="007E71CC">
            <w:pPr>
              <w:pStyle w:val="CorpsTexte"/>
              <w:jc w:val="center"/>
              <w:rPr>
                <w:color w:val="FFFFFF" w:themeColor="background1"/>
              </w:rPr>
            </w:pPr>
            <w:r w:rsidRPr="007E71CC">
              <w:rPr>
                <w:color w:val="FFFFFF" w:themeColor="background1"/>
              </w:rPr>
              <w:t>Abattement</w:t>
            </w:r>
          </w:p>
        </w:tc>
      </w:tr>
      <w:tr w:rsidR="007F7C5E" w14:paraId="057E937F" w14:textId="77777777" w:rsidTr="007E71CC">
        <w:tc>
          <w:tcPr>
            <w:tcW w:w="3020" w:type="dxa"/>
          </w:tcPr>
          <w:p w14:paraId="304BAB3A" w14:textId="62C73AFA" w:rsidR="007F7C5E" w:rsidRPr="00410543" w:rsidRDefault="007F7C5E" w:rsidP="00410543">
            <w:pPr>
              <w:pStyle w:val="CorpsTexte"/>
              <w:jc w:val="left"/>
            </w:pPr>
            <w:r w:rsidRPr="00410543">
              <w:t>Location meublée classique</w:t>
            </w:r>
          </w:p>
        </w:tc>
        <w:tc>
          <w:tcPr>
            <w:tcW w:w="3021" w:type="dxa"/>
          </w:tcPr>
          <w:p w14:paraId="61F492D4" w14:textId="4D8F7C1D" w:rsidR="007F7C5E" w:rsidRPr="00CC02A1" w:rsidRDefault="007F7C5E" w:rsidP="00CC02A1">
            <w:pPr>
              <w:pStyle w:val="CorpsTexte"/>
              <w:jc w:val="center"/>
            </w:pPr>
            <w:r w:rsidRPr="00CC02A1">
              <w:t>77 700 €</w:t>
            </w:r>
          </w:p>
        </w:tc>
        <w:tc>
          <w:tcPr>
            <w:tcW w:w="3021" w:type="dxa"/>
          </w:tcPr>
          <w:p w14:paraId="7EB1C925" w14:textId="5E77F96A" w:rsidR="007F7C5E" w:rsidRPr="008063E4" w:rsidRDefault="00CC02A1" w:rsidP="008063E4">
            <w:pPr>
              <w:pStyle w:val="CorpsTexte"/>
              <w:jc w:val="center"/>
            </w:pPr>
            <w:r w:rsidRPr="008063E4">
              <w:t>50 %</w:t>
            </w:r>
          </w:p>
        </w:tc>
      </w:tr>
      <w:tr w:rsidR="007F7C5E" w14:paraId="672710A1" w14:textId="77777777" w:rsidTr="007E71CC">
        <w:tc>
          <w:tcPr>
            <w:tcW w:w="3020" w:type="dxa"/>
          </w:tcPr>
          <w:p w14:paraId="63ED16C6" w14:textId="3CFA7A2B" w:rsidR="007F7C5E" w:rsidRPr="00410543" w:rsidRDefault="00096BCA" w:rsidP="00410543">
            <w:pPr>
              <w:pStyle w:val="CorpsTexte"/>
              <w:jc w:val="left"/>
            </w:pPr>
            <w:r>
              <w:t>C</w:t>
            </w:r>
            <w:r w:rsidR="00410543" w:rsidRPr="00410543">
              <w:t>hambres d’hôtes</w:t>
            </w:r>
            <w:r w:rsidRPr="00410543">
              <w:t xml:space="preserve"> </w:t>
            </w:r>
            <w:r>
              <w:t>et pa</w:t>
            </w:r>
            <w:r w:rsidRPr="00410543">
              <w:t>rahôtellerie</w:t>
            </w:r>
          </w:p>
        </w:tc>
        <w:tc>
          <w:tcPr>
            <w:tcW w:w="3021" w:type="dxa"/>
          </w:tcPr>
          <w:p w14:paraId="198F8725" w14:textId="7863B110" w:rsidR="007F7C5E" w:rsidRPr="00CC02A1" w:rsidRDefault="007F7C5E" w:rsidP="00CC02A1">
            <w:pPr>
              <w:pStyle w:val="CorpsTexte"/>
              <w:jc w:val="center"/>
            </w:pPr>
            <w:r w:rsidRPr="00CC02A1">
              <w:t>188 700 €</w:t>
            </w:r>
          </w:p>
        </w:tc>
        <w:tc>
          <w:tcPr>
            <w:tcW w:w="3021" w:type="dxa"/>
          </w:tcPr>
          <w:p w14:paraId="3240486B" w14:textId="389B2DE2" w:rsidR="007F7C5E" w:rsidRPr="008063E4" w:rsidRDefault="008063E4" w:rsidP="008063E4">
            <w:pPr>
              <w:pStyle w:val="CorpsTexte"/>
              <w:jc w:val="center"/>
            </w:pPr>
            <w:r w:rsidRPr="008063E4">
              <w:t>71 %</w:t>
            </w:r>
          </w:p>
        </w:tc>
      </w:tr>
      <w:tr w:rsidR="007F7C5E" w14:paraId="59E5BD6F" w14:textId="77777777" w:rsidTr="007E71CC">
        <w:tc>
          <w:tcPr>
            <w:tcW w:w="3020" w:type="dxa"/>
          </w:tcPr>
          <w:p w14:paraId="60B5CF92" w14:textId="24EAE35F" w:rsidR="007F7C5E" w:rsidRPr="00410543" w:rsidRDefault="007F7C5E" w:rsidP="00410543">
            <w:pPr>
              <w:pStyle w:val="CorpsTexte"/>
              <w:jc w:val="left"/>
            </w:pPr>
            <w:r w:rsidRPr="00410543">
              <w:t>Meublé de tourisme non classé</w:t>
            </w:r>
          </w:p>
        </w:tc>
        <w:tc>
          <w:tcPr>
            <w:tcW w:w="3021" w:type="dxa"/>
          </w:tcPr>
          <w:p w14:paraId="39E90123" w14:textId="3CDC4038" w:rsidR="007F7C5E" w:rsidRPr="00CC02A1" w:rsidRDefault="007F7C5E" w:rsidP="00CC02A1">
            <w:pPr>
              <w:pStyle w:val="CorpsTexte"/>
              <w:jc w:val="center"/>
            </w:pPr>
            <w:r w:rsidRPr="00CC02A1">
              <w:t>15 000 €</w:t>
            </w:r>
          </w:p>
        </w:tc>
        <w:tc>
          <w:tcPr>
            <w:tcW w:w="3021" w:type="dxa"/>
          </w:tcPr>
          <w:p w14:paraId="3ADD612D" w14:textId="7875F610" w:rsidR="007F7C5E" w:rsidRPr="008063E4" w:rsidRDefault="00CC02A1" w:rsidP="008063E4">
            <w:pPr>
              <w:pStyle w:val="CorpsTexte"/>
              <w:jc w:val="center"/>
            </w:pPr>
            <w:r w:rsidRPr="008063E4">
              <w:t>30 %</w:t>
            </w:r>
          </w:p>
        </w:tc>
      </w:tr>
      <w:tr w:rsidR="007F7C5E" w14:paraId="0692FAEB" w14:textId="77777777" w:rsidTr="007E71CC">
        <w:tc>
          <w:tcPr>
            <w:tcW w:w="3020" w:type="dxa"/>
          </w:tcPr>
          <w:p w14:paraId="5DA12D1B" w14:textId="1A4278FD" w:rsidR="007F7C5E" w:rsidRPr="00410543" w:rsidRDefault="007F7C5E" w:rsidP="00410543">
            <w:pPr>
              <w:pStyle w:val="CorpsTexte"/>
              <w:jc w:val="left"/>
            </w:pPr>
            <w:r w:rsidRPr="00410543">
              <w:t>Meublé de tourisme classé en zone tendue </w:t>
            </w:r>
          </w:p>
        </w:tc>
        <w:tc>
          <w:tcPr>
            <w:tcW w:w="3021" w:type="dxa"/>
          </w:tcPr>
          <w:p w14:paraId="0B4C403A" w14:textId="29A36151" w:rsidR="007F7C5E" w:rsidRPr="00CC02A1" w:rsidRDefault="007F7C5E" w:rsidP="00CC02A1">
            <w:pPr>
              <w:pStyle w:val="CorpsTexte"/>
              <w:jc w:val="center"/>
            </w:pPr>
            <w:r w:rsidRPr="00CC02A1">
              <w:t>1</w:t>
            </w:r>
            <w:r w:rsidR="00096BCA">
              <w:t>88 700</w:t>
            </w:r>
            <w:r w:rsidRPr="00CC02A1">
              <w:t xml:space="preserve"> €</w:t>
            </w:r>
          </w:p>
        </w:tc>
        <w:tc>
          <w:tcPr>
            <w:tcW w:w="3021" w:type="dxa"/>
          </w:tcPr>
          <w:p w14:paraId="07489544" w14:textId="1963961E" w:rsidR="007F7C5E" w:rsidRPr="008063E4" w:rsidRDefault="00096BCA" w:rsidP="008063E4">
            <w:pPr>
              <w:pStyle w:val="CorpsTexte"/>
              <w:jc w:val="center"/>
            </w:pPr>
            <w:r>
              <w:t>71</w:t>
            </w:r>
            <w:r w:rsidR="008063E4" w:rsidRPr="008063E4">
              <w:t xml:space="preserve"> %</w:t>
            </w:r>
          </w:p>
        </w:tc>
      </w:tr>
      <w:tr w:rsidR="007F7C5E" w14:paraId="261DC9B4" w14:textId="77777777" w:rsidTr="007E71CC">
        <w:tc>
          <w:tcPr>
            <w:tcW w:w="3020" w:type="dxa"/>
          </w:tcPr>
          <w:p w14:paraId="5DBCC654" w14:textId="77777777" w:rsidR="00C544C5" w:rsidRDefault="007F7C5E" w:rsidP="00410543">
            <w:pPr>
              <w:pStyle w:val="CorpsTexte"/>
              <w:jc w:val="left"/>
            </w:pPr>
            <w:r w:rsidRPr="00410543">
              <w:t>Meublé de tourisme classé en zone non tendue</w:t>
            </w:r>
          </w:p>
          <w:p w14:paraId="4FB0B91A" w14:textId="7C3F2056" w:rsidR="007F7C5E" w:rsidRPr="00410543" w:rsidRDefault="00C544C5" w:rsidP="00410543">
            <w:pPr>
              <w:pStyle w:val="CorpsTexte"/>
              <w:jc w:val="left"/>
            </w:pPr>
            <w:r>
              <w:t>CA &lt;= 15 000 €</w:t>
            </w:r>
          </w:p>
        </w:tc>
        <w:tc>
          <w:tcPr>
            <w:tcW w:w="3021" w:type="dxa"/>
          </w:tcPr>
          <w:p w14:paraId="49B9E8F8" w14:textId="7AB9DF72" w:rsidR="00C544C5" w:rsidRPr="00CC02A1" w:rsidRDefault="007F7C5E" w:rsidP="00C544C5">
            <w:pPr>
              <w:pStyle w:val="CorpsTexte"/>
              <w:jc w:val="center"/>
            </w:pPr>
            <w:r w:rsidRPr="00CC02A1">
              <w:t xml:space="preserve">15 000 </w:t>
            </w:r>
            <w:r w:rsidR="00C544C5">
              <w:t>€</w:t>
            </w:r>
          </w:p>
        </w:tc>
        <w:tc>
          <w:tcPr>
            <w:tcW w:w="3021" w:type="dxa"/>
          </w:tcPr>
          <w:p w14:paraId="7C2B59B7" w14:textId="614D87F5" w:rsidR="00C544C5" w:rsidRPr="008063E4" w:rsidRDefault="00096BCA" w:rsidP="00C544C5">
            <w:pPr>
              <w:pStyle w:val="CorpsTexte"/>
              <w:jc w:val="center"/>
            </w:pPr>
            <w:r>
              <w:t>92 %</w:t>
            </w:r>
          </w:p>
        </w:tc>
      </w:tr>
      <w:tr w:rsidR="00C544C5" w14:paraId="568F1CBF" w14:textId="77777777" w:rsidTr="007E71CC">
        <w:tc>
          <w:tcPr>
            <w:tcW w:w="3020" w:type="dxa"/>
          </w:tcPr>
          <w:p w14:paraId="4CEF0C93" w14:textId="7BE522FE" w:rsidR="00C544C5" w:rsidRDefault="00C544C5" w:rsidP="00C544C5">
            <w:pPr>
              <w:pStyle w:val="CorpsTexte"/>
              <w:jc w:val="left"/>
            </w:pPr>
            <w:r w:rsidRPr="00410543">
              <w:t>Meublé de tourisme classé en zone non tendue</w:t>
            </w:r>
            <w:r>
              <w:t xml:space="preserve"> </w:t>
            </w:r>
          </w:p>
          <w:p w14:paraId="27519728" w14:textId="7E2677A8" w:rsidR="00C544C5" w:rsidRPr="00410543" w:rsidRDefault="00C544C5" w:rsidP="00C544C5">
            <w:pPr>
              <w:pStyle w:val="CorpsTexte"/>
            </w:pPr>
            <w:r>
              <w:t>15 000 € &lt; CA &lt;= 188 700 €</w:t>
            </w:r>
          </w:p>
        </w:tc>
        <w:tc>
          <w:tcPr>
            <w:tcW w:w="3021" w:type="dxa"/>
          </w:tcPr>
          <w:p w14:paraId="0020B120" w14:textId="0D87F689" w:rsidR="00C544C5" w:rsidRPr="00CC02A1" w:rsidRDefault="00C544C5" w:rsidP="00C544C5">
            <w:pPr>
              <w:pStyle w:val="CorpsTexte"/>
              <w:jc w:val="center"/>
            </w:pPr>
            <w:r>
              <w:t>Entre 15 001 € et 188 700 €</w:t>
            </w:r>
          </w:p>
        </w:tc>
        <w:tc>
          <w:tcPr>
            <w:tcW w:w="3021" w:type="dxa"/>
          </w:tcPr>
          <w:p w14:paraId="0137D911" w14:textId="39506B0C" w:rsidR="00C544C5" w:rsidRDefault="00C544C5" w:rsidP="00C544C5">
            <w:pPr>
              <w:pStyle w:val="CorpsTexte"/>
              <w:jc w:val="center"/>
            </w:pPr>
            <w:r>
              <w:t>71 %</w:t>
            </w:r>
          </w:p>
        </w:tc>
      </w:tr>
    </w:tbl>
    <w:p w14:paraId="13DF3CC6" w14:textId="07560FF8" w:rsidR="00014752" w:rsidRDefault="00014752" w:rsidP="00014752">
      <w:pPr>
        <w:pStyle w:val="CorpsTexte"/>
      </w:pPr>
      <w:r>
        <w:t>Attention, ces règles sont susceptibles d’évoluer dans le courant de l’année (potentiellement via une loi de finances rectificative).</w:t>
      </w:r>
    </w:p>
    <w:p w14:paraId="0622133A" w14:textId="77777777" w:rsidR="00C966F8" w:rsidRDefault="00C966F8" w:rsidP="00C966F8">
      <w:pPr>
        <w:pStyle w:val="Intertitre1"/>
      </w:pPr>
    </w:p>
    <w:p w14:paraId="37116ABC" w14:textId="112CFE3D" w:rsidR="00C966F8" w:rsidRDefault="00C966F8" w:rsidP="00C966F8">
      <w:pPr>
        <w:pStyle w:val="Intertitre1"/>
      </w:pPr>
      <w:r>
        <w:t>Impôt sur la fortune immobilière (IFI)</w:t>
      </w:r>
    </w:p>
    <w:p w14:paraId="323871A9" w14:textId="581B79A9" w:rsidR="00C966F8" w:rsidRDefault="00C966F8" w:rsidP="00C966F8">
      <w:pPr>
        <w:pStyle w:val="CorpsTexte"/>
      </w:pPr>
      <w:r w:rsidRPr="00C966F8">
        <w:t xml:space="preserve">Pour </w:t>
      </w:r>
      <w:r>
        <w:t>la valorisation des titres de société</w:t>
      </w:r>
      <w:r w:rsidRPr="00C966F8">
        <w:t>, les dettes contractées directement ou indirectement par la société (prêt bancaire, compte courant d'associé, etc.) pour financer un actif non imposable ne sont plus déductibles.</w:t>
      </w:r>
      <w:r>
        <w:t xml:space="preserve"> Cette mesure entre en vigueur à compter du </w:t>
      </w:r>
      <w:r>
        <w:t>1</w:t>
      </w:r>
      <w:r w:rsidRPr="00C966F8">
        <w:rPr>
          <w:vertAlign w:val="superscript"/>
        </w:rPr>
        <w:t>er</w:t>
      </w:r>
      <w:r>
        <w:t xml:space="preserve"> janvier 2024</w:t>
      </w:r>
      <w:r>
        <w:t>.</w:t>
      </w:r>
    </w:p>
    <w:p w14:paraId="6C492C97" w14:textId="77777777" w:rsidR="00C966F8" w:rsidRDefault="00C966F8" w:rsidP="008063E4">
      <w:pPr>
        <w:pStyle w:val="Intertitre1"/>
        <w:numPr>
          <w:ilvl w:val="0"/>
          <w:numId w:val="0"/>
        </w:numPr>
      </w:pPr>
    </w:p>
    <w:p w14:paraId="1D6E99DD" w14:textId="77777777" w:rsidR="00C966F8" w:rsidRDefault="00C966F8" w:rsidP="008063E4">
      <w:pPr>
        <w:pStyle w:val="Intertitre1"/>
        <w:numPr>
          <w:ilvl w:val="0"/>
          <w:numId w:val="0"/>
        </w:numPr>
      </w:pPr>
    </w:p>
    <w:p w14:paraId="07523029" w14:textId="77777777" w:rsidR="00C966F8" w:rsidRDefault="00C966F8">
      <w:pPr>
        <w:rPr>
          <w:rFonts w:ascii="Trebuchet MS" w:eastAsia="Trebuchet MS" w:hAnsi="Trebuchet MS" w:cs="Times New Roman"/>
          <w:b/>
          <w:color w:val="577188"/>
          <w:kern w:val="0"/>
          <w:sz w:val="28"/>
          <w:szCs w:val="20"/>
          <w:lang w:eastAsia="fr-FR"/>
          <w14:ligatures w14:val="none"/>
        </w:rPr>
      </w:pPr>
      <w:r>
        <w:br w:type="page"/>
      </w:r>
    </w:p>
    <w:p w14:paraId="0977205F" w14:textId="3A6D1F2F" w:rsidR="00D0656F" w:rsidRDefault="00195DA2" w:rsidP="008063E4">
      <w:pPr>
        <w:pStyle w:val="Intertitre1"/>
        <w:numPr>
          <w:ilvl w:val="0"/>
          <w:numId w:val="0"/>
        </w:numPr>
      </w:pPr>
      <w:r>
        <w:lastRenderedPageBreak/>
        <w:t>Plus-value</w:t>
      </w:r>
      <w:r w:rsidR="00C544C5">
        <w:t>s</w:t>
      </w:r>
      <w:r>
        <w:t xml:space="preserve"> immobilière</w:t>
      </w:r>
      <w:r w:rsidR="00C544C5">
        <w:t>s</w:t>
      </w:r>
    </w:p>
    <w:p w14:paraId="51AF129B" w14:textId="644839DC" w:rsidR="00C251FB" w:rsidRDefault="000F311E" w:rsidP="00C251FB">
      <w:pPr>
        <w:pStyle w:val="CorpsTexte"/>
        <w:rPr>
          <w:color w:val="577188"/>
          <w:u w:val="single"/>
        </w:rPr>
      </w:pPr>
      <w:r w:rsidRPr="000F311E">
        <w:rPr>
          <w:color w:val="577188"/>
          <w:u w:val="single"/>
        </w:rPr>
        <w:t>Abattements exceptionnels en cas de cession des terrains à bâtir situés en zone A, A bis, ou B1</w:t>
      </w:r>
    </w:p>
    <w:p w14:paraId="67705EAC" w14:textId="092135D1" w:rsidR="000F311E" w:rsidRDefault="00D42727" w:rsidP="00D42727">
      <w:pPr>
        <w:pStyle w:val="CorpsTexte"/>
      </w:pPr>
      <w:r w:rsidRPr="00D42727">
        <w:t>L’abattement exceptionnel applicable aux opérations de démolition-reconstruction est prolongé jusqu’au 31 décembre 2025 dans le périmètre des grandes opérations d’urbanisme (GOU) ou des opérations de revitalisation du territoire (ORT).</w:t>
      </w:r>
    </w:p>
    <w:p w14:paraId="1C5E86F3" w14:textId="77777777" w:rsidR="00152AAF" w:rsidRPr="00C544C5" w:rsidRDefault="00152AAF" w:rsidP="00152AAF">
      <w:pPr>
        <w:rPr>
          <w:rFonts w:ascii="Trebuchet MS" w:eastAsia="Trebuchet MS" w:hAnsi="Trebuchet MS" w:cs="Times New Roman"/>
          <w:color w:val="595959"/>
          <w:kern w:val="0"/>
          <w:sz w:val="21"/>
          <w:szCs w:val="20"/>
          <w:lang w:eastAsia="fr-FR"/>
          <w14:ligatures w14:val="none"/>
        </w:rPr>
      </w:pPr>
      <w:r w:rsidRPr="00C544C5">
        <w:rPr>
          <w:rFonts w:ascii="Trebuchet MS" w:eastAsia="Trebuchet MS" w:hAnsi="Trebuchet MS" w:cs="Times New Roman"/>
          <w:color w:val="595959"/>
          <w:kern w:val="0"/>
          <w:sz w:val="21"/>
          <w:szCs w:val="20"/>
          <w:lang w:eastAsia="fr-FR"/>
          <w14:ligatures w14:val="none"/>
        </w:rPr>
        <w:t>De plus, il est étendu aux zones d’opérations d’intérêt général (OIN).</w:t>
      </w:r>
    </w:p>
    <w:p w14:paraId="4BDDA5D5" w14:textId="449A30F9" w:rsidR="00152AAF" w:rsidRDefault="00CA3272" w:rsidP="00152AAF">
      <w:pPr>
        <w:pStyle w:val="CorpsTexte"/>
      </w:pPr>
      <w:r w:rsidRPr="00CA3272">
        <w:t>Initialement, l’abattement était de 70 % ou 85 %.</w:t>
      </w:r>
    </w:p>
    <w:p w14:paraId="70B8F502" w14:textId="0D8CA495" w:rsidR="00CA3272" w:rsidRDefault="00CA3272" w:rsidP="00CA3272">
      <w:pPr>
        <w:pStyle w:val="CorpsTexte"/>
      </w:pPr>
      <w:r>
        <w:t>Les nouveaux taux d’abattement sont :</w:t>
      </w:r>
    </w:p>
    <w:p w14:paraId="029C2ED6" w14:textId="028E62E1" w:rsidR="00CA3272" w:rsidRDefault="00CA3272" w:rsidP="00C544C5">
      <w:pPr>
        <w:pStyle w:val="CorpsTexte"/>
        <w:numPr>
          <w:ilvl w:val="0"/>
          <w:numId w:val="13"/>
        </w:numPr>
      </w:pPr>
      <w:r>
        <w:t>60 % pour les cessions portant sur des terrains à bâtir et biens immobiliers bâtis situés en zones A, A bis et B1 (communes classées par arrêté dans une zone géographique caractérisée par un déséquilibre important entre l’offre et la demande).</w:t>
      </w:r>
    </w:p>
    <w:p w14:paraId="3CBD8ACE" w14:textId="0D1AAADF" w:rsidR="00CA3272" w:rsidRDefault="00CA3272" w:rsidP="00C544C5">
      <w:pPr>
        <w:pStyle w:val="CorpsTexte"/>
        <w:numPr>
          <w:ilvl w:val="0"/>
          <w:numId w:val="13"/>
        </w:numPr>
      </w:pPr>
      <w:r>
        <w:t>75 % pour les cessions portant sur des biens et terrains situés dans le périmètre des GOU, ORT ou OIN.</w:t>
      </w:r>
    </w:p>
    <w:p w14:paraId="73464DAC" w14:textId="171E756F" w:rsidR="00CA3272" w:rsidRDefault="00CA3272" w:rsidP="00C544C5">
      <w:pPr>
        <w:pStyle w:val="CorpsTexte"/>
        <w:numPr>
          <w:ilvl w:val="0"/>
          <w:numId w:val="13"/>
        </w:numPr>
      </w:pPr>
      <w:r>
        <w:t xml:space="preserve">85 % si au moins 50 % (25 % dans les communes qui n’ont pas atteint leur quota de logements sociaux) de la surface de la construction est affectée à du logement social ou intermédiaire </w:t>
      </w:r>
      <w:r w:rsidR="00014752">
        <w:t>et</w:t>
      </w:r>
      <w:r>
        <w:t xml:space="preserve"> respectant un plafonnement de loyer applicable au dispositif « </w:t>
      </w:r>
      <w:proofErr w:type="spellStart"/>
      <w:r>
        <w:t>Loc’avantages</w:t>
      </w:r>
      <w:proofErr w:type="spellEnd"/>
      <w:r>
        <w:t xml:space="preserve"> ». </w:t>
      </w:r>
    </w:p>
    <w:p w14:paraId="75F35E88" w14:textId="77777777" w:rsidR="001618CB" w:rsidRDefault="001618CB" w:rsidP="00096BCA">
      <w:pPr>
        <w:pStyle w:val="Intertitre1"/>
      </w:pPr>
    </w:p>
    <w:p w14:paraId="235036A9" w14:textId="0C64112B" w:rsidR="00096BCA" w:rsidRDefault="00014752" w:rsidP="00096BCA">
      <w:pPr>
        <w:pStyle w:val="Intertitre1"/>
      </w:pPr>
      <w:r>
        <w:t>Enveloppes</w:t>
      </w:r>
      <w:r w:rsidR="00096BCA">
        <w:t xml:space="preserve"> d’investissement</w:t>
      </w:r>
    </w:p>
    <w:p w14:paraId="4B782072" w14:textId="41E0AA0D" w:rsidR="001618CB" w:rsidRDefault="00096BCA" w:rsidP="00096BCA">
      <w:pPr>
        <w:pStyle w:val="Intertitre3"/>
      </w:pPr>
      <w:r w:rsidRPr="0029399E">
        <w:t>Création d’un avantage fiscal relatif au Plan Epargne Avenir Climat</w:t>
      </w:r>
      <w:r w:rsidR="001618CB">
        <w:t xml:space="preserve"> (PEAC)</w:t>
      </w:r>
    </w:p>
    <w:p w14:paraId="5C4727D1" w14:textId="05F041BC" w:rsidR="00096BCA" w:rsidRDefault="001618CB" w:rsidP="00096BCA">
      <w:pPr>
        <w:pStyle w:val="CorpsTexte"/>
      </w:pPr>
      <w:r>
        <w:t>Pour rappel, le PEAC, introduit par la loi Industrie verte</w:t>
      </w:r>
      <w:r w:rsidR="00E51146">
        <w:t xml:space="preserve"> du 23 octobre dernier</w:t>
      </w:r>
      <w:r>
        <w:t>, vise à inciter l’investissement des jeunes générations dans les projets relatifs à la transition écologique. Le PEAC</w:t>
      </w:r>
      <w:r w:rsidR="00096BCA" w:rsidRPr="0029399E">
        <w:t xml:space="preserve"> peut</w:t>
      </w:r>
      <w:r>
        <w:t xml:space="preserve"> </w:t>
      </w:r>
      <w:r w:rsidR="00C966F8">
        <w:t>ainsi</w:t>
      </w:r>
      <w:r w:rsidR="00096BCA" w:rsidRPr="0029399E">
        <w:t xml:space="preserve"> être souscrit par les personnes physiques âgées de moins de 21 ans et résidant en France.</w:t>
      </w:r>
      <w:r w:rsidR="00096BCA">
        <w:t xml:space="preserve"> </w:t>
      </w:r>
    </w:p>
    <w:p w14:paraId="220F6A13" w14:textId="6F117936" w:rsidR="001618CB" w:rsidRDefault="001618CB" w:rsidP="001618CB">
      <w:pPr>
        <w:pStyle w:val="CorpsTexte"/>
      </w:pPr>
      <w:r>
        <w:t>L</w:t>
      </w:r>
      <w:r>
        <w:t>a loi de finances pour 2024 vient préciser que l</w:t>
      </w:r>
      <w:r>
        <w:t>es plus-values réalisées sont</w:t>
      </w:r>
      <w:r>
        <w:t>, sous conditions,</w:t>
      </w:r>
      <w:r>
        <w:t xml:space="preserve"> exonérées d’impôt sur le revenu et de prélèvements sociaux</w:t>
      </w:r>
      <w:r>
        <w:t xml:space="preserve">, pendant la phase de capitalisation et à la clôture du plan. Elles entrent toutefois dans le calcul du </w:t>
      </w:r>
      <w:r>
        <w:t>revenu fiscal de référence</w:t>
      </w:r>
      <w:r>
        <w:t xml:space="preserve"> en cas de clôture.</w:t>
      </w:r>
    </w:p>
    <w:p w14:paraId="1D7FAC08" w14:textId="25DA8B0E" w:rsidR="00096BCA" w:rsidRDefault="00096BCA" w:rsidP="00096BCA">
      <w:pPr>
        <w:pStyle w:val="CorpsTexte"/>
        <w:rPr>
          <w:shd w:val="clear" w:color="auto" w:fill="FFFFFF"/>
        </w:rPr>
      </w:pPr>
      <w:r>
        <w:rPr>
          <w:shd w:val="clear" w:color="auto" w:fill="FFFFFF"/>
        </w:rPr>
        <w:t>Les retraits partiels n’entrainent pas la clôture du plan dès lors qu</w:t>
      </w:r>
      <w:r w:rsidR="001618CB">
        <w:rPr>
          <w:shd w:val="clear" w:color="auto" w:fill="FFFFFF"/>
        </w:rPr>
        <w:t xml:space="preserve">e celui-ci </w:t>
      </w:r>
      <w:r>
        <w:rPr>
          <w:shd w:val="clear" w:color="auto" w:fill="FFFFFF"/>
        </w:rPr>
        <w:t xml:space="preserve">a été ouvert depuis plus de 5 ans. </w:t>
      </w:r>
    </w:p>
    <w:p w14:paraId="45F77A5C" w14:textId="564AFBEC" w:rsidR="00096BCA" w:rsidRDefault="001618CB" w:rsidP="00096BCA">
      <w:pPr>
        <w:pStyle w:val="CorpsTexte"/>
        <w:rPr>
          <w:shd w:val="clear" w:color="auto" w:fill="FFFFFF"/>
        </w:rPr>
      </w:pPr>
      <w:r>
        <w:rPr>
          <w:shd w:val="clear" w:color="auto" w:fill="FFFFFF"/>
        </w:rPr>
        <w:t>L</w:t>
      </w:r>
      <w:r w:rsidR="00096BCA">
        <w:rPr>
          <w:shd w:val="clear" w:color="auto" w:fill="FFFFFF"/>
        </w:rPr>
        <w:t xml:space="preserve">e plan est clôturé </w:t>
      </w:r>
      <w:r>
        <w:rPr>
          <w:shd w:val="clear" w:color="auto" w:fill="FFFFFF"/>
        </w:rPr>
        <w:t>lorsque</w:t>
      </w:r>
      <w:r w:rsidR="00096BCA">
        <w:rPr>
          <w:shd w:val="clear" w:color="auto" w:fill="FFFFFF"/>
        </w:rPr>
        <w:t xml:space="preserve"> le titulaire atteint l’âge de 30 ans ou en cas de retrait partiel avant les 5 ans de détention du plan. </w:t>
      </w:r>
    </w:p>
    <w:p w14:paraId="11D582D6" w14:textId="102C1B8E" w:rsidR="00096BCA" w:rsidRDefault="00096BCA" w:rsidP="00096BCA">
      <w:pPr>
        <w:pStyle w:val="Intertitre3"/>
      </w:pPr>
      <w:r w:rsidRPr="0099060C">
        <w:t xml:space="preserve">Interdiction d’ouvrir ou de verser sur un PER </w:t>
      </w:r>
      <w:r w:rsidR="009006A2">
        <w:t xml:space="preserve">(Plan Epargne Retraite) </w:t>
      </w:r>
      <w:r w:rsidRPr="0099060C">
        <w:t>d’un mineur</w:t>
      </w:r>
    </w:p>
    <w:p w14:paraId="4708F866" w14:textId="13D9B154" w:rsidR="00096BCA" w:rsidRDefault="00096BCA" w:rsidP="00096BCA">
      <w:pPr>
        <w:pStyle w:val="CorpsTexte"/>
      </w:pPr>
      <w:r>
        <w:t>A compter du 1er janvier 2024</w:t>
      </w:r>
      <w:r w:rsidR="00014752">
        <w:t>,</w:t>
      </w:r>
      <w:r>
        <w:t xml:space="preserve"> les mineurs ne peuvent plus </w:t>
      </w:r>
      <w:r w:rsidR="00014752">
        <w:t>souscrire</w:t>
      </w:r>
      <w:r>
        <w:t xml:space="preserve"> de </w:t>
      </w:r>
      <w:r w:rsidR="00014752">
        <w:t>PER.</w:t>
      </w:r>
      <w:r>
        <w:t xml:space="preserve"> </w:t>
      </w:r>
    </w:p>
    <w:p w14:paraId="3E2E44C9" w14:textId="0248771C" w:rsidR="00096BCA" w:rsidRDefault="001618CB" w:rsidP="00096BCA">
      <w:pPr>
        <w:pStyle w:val="CorpsTexte"/>
      </w:pPr>
      <w:r>
        <w:t>Pour les PER souscrits avant cette date par des enfants mineurs</w:t>
      </w:r>
      <w:r w:rsidR="00096BCA">
        <w:t xml:space="preserve">, les versements volontaires ne sont plus possibles. </w:t>
      </w:r>
    </w:p>
    <w:p w14:paraId="65D4698B" w14:textId="50C9CFB8" w:rsidR="00D01DE1" w:rsidRDefault="00D139C9" w:rsidP="0080337C">
      <w:pPr>
        <w:pStyle w:val="Intertitre1"/>
      </w:pPr>
      <w:r>
        <w:lastRenderedPageBreak/>
        <w:t xml:space="preserve">Transmission </w:t>
      </w:r>
      <w:r w:rsidR="00C966F8">
        <w:t>du patrimoine</w:t>
      </w:r>
    </w:p>
    <w:p w14:paraId="42817859" w14:textId="1991B531" w:rsidR="00D139C9" w:rsidRDefault="005052EF" w:rsidP="005052EF">
      <w:pPr>
        <w:pStyle w:val="Intertitre3"/>
      </w:pPr>
      <w:r w:rsidRPr="005052EF">
        <w:t>Limitation de l'efficacité du quasi-usufruit</w:t>
      </w:r>
    </w:p>
    <w:p w14:paraId="4E944BBD" w14:textId="74CB59FF" w:rsidR="00E51146" w:rsidRDefault="006041C2" w:rsidP="005052EF">
      <w:pPr>
        <w:pStyle w:val="CorpsTexte"/>
      </w:pPr>
      <w:r w:rsidRPr="006041C2">
        <w:t xml:space="preserve">À compter de 2024, la créance de restitution d'un quasi-usufruit née d’une donation de la nue-propriété d'une somme d'argent n'est plus déductible de l’actif successoral de l’usufruitier. </w:t>
      </w:r>
    </w:p>
    <w:p w14:paraId="00384B33" w14:textId="5EB7DC89" w:rsidR="005052EF" w:rsidRDefault="006041C2" w:rsidP="005052EF">
      <w:pPr>
        <w:pStyle w:val="CorpsTexte"/>
      </w:pPr>
      <w:r w:rsidRPr="006041C2">
        <w:t>Néanmoins, les droits éventuellement acquittés lors de la donation démembrée sont imputables sur ceux dus aux décès, puisque cette créance n’est plus fiscalement prise en compte. Le surplus éventuel ne fera l’objet d’aucune restitution.</w:t>
      </w:r>
    </w:p>
    <w:p w14:paraId="368035CA" w14:textId="05E0E2C2" w:rsidR="00FF7525" w:rsidRDefault="00FF7525" w:rsidP="00FF7525">
      <w:pPr>
        <w:pStyle w:val="Intertitre3"/>
      </w:pPr>
      <w:r>
        <w:t>Hausse de l’abattement en cas de donation ou cession d’entreprise à un proche ou un salarié</w:t>
      </w:r>
    </w:p>
    <w:p w14:paraId="6F9C4A44" w14:textId="77777777" w:rsidR="00FF7525" w:rsidRDefault="00FF7525" w:rsidP="00FF7525">
      <w:pPr>
        <w:pStyle w:val="CorpsTexte"/>
      </w:pPr>
      <w:r>
        <w:t>La cession ou donation en pleine propriété, aux salariés ou aux proches, de titres de société ou de fonds de commerce, de clientèle d’entreprise individuelle, les fonds artisanaux, les fonds agricoles ou de titres de sociétés représentatives de fonds de commerce ou clientèles, peut bénéficier d’un abattement fiscal sur les droits d’enregistrement.</w:t>
      </w:r>
    </w:p>
    <w:p w14:paraId="2F359ACB" w14:textId="55F4D9AA" w:rsidR="00FF7525" w:rsidRDefault="00FF7525" w:rsidP="005052EF">
      <w:pPr>
        <w:pStyle w:val="CorpsTexte"/>
      </w:pPr>
      <w:r>
        <w:t xml:space="preserve">Cet abattement fiscal était de 300 000 € : il passe à 500 000 € dès le </w:t>
      </w:r>
      <w:r w:rsidR="009006A2">
        <w:t>1er</w:t>
      </w:r>
      <w:r>
        <w:t xml:space="preserve"> janvier 2024.</w:t>
      </w:r>
    </w:p>
    <w:p w14:paraId="2E0C82E6" w14:textId="2D4F3CE7" w:rsidR="008C02F1" w:rsidRDefault="008C02F1" w:rsidP="008C2141">
      <w:pPr>
        <w:pStyle w:val="Intertitre3"/>
        <w:jc w:val="both"/>
      </w:pPr>
      <w:r w:rsidRPr="008C02F1">
        <w:t>Exclusion des locations meublées et équipées du dispositif Dutreil dès le 17 octobre 2023</w:t>
      </w:r>
    </w:p>
    <w:p w14:paraId="54E7C65D" w14:textId="7E17C401" w:rsidR="00724563" w:rsidRDefault="00724563" w:rsidP="00724563">
      <w:pPr>
        <w:pStyle w:val="CorpsTexte"/>
      </w:pPr>
      <w:r w:rsidRPr="00724563">
        <w:t>Les entreprises et sociétés ayant pour activité la gestion de leur propre patrimoine mobilier ou immobilier, telles que la location meublée et la location équipée, sont expressément exclues de l’exonération Dutreil. Cette exclusion s'applique à toute transmission intervenant à compter du 17 octobre 2023. En effet, cette activité n’est "légalement" pas considérée, pour l’obtention de l’exonération Dutreil, comme une activité industrielle, commerciale, artisanale ou libérale.</w:t>
      </w:r>
    </w:p>
    <w:p w14:paraId="388DB8C7" w14:textId="2636897E" w:rsidR="000C600F" w:rsidRDefault="000C600F" w:rsidP="00724563">
      <w:pPr>
        <w:pStyle w:val="CorpsTexte"/>
      </w:pPr>
      <w:r w:rsidRPr="000C600F">
        <w:t>La même exclusion s'applique aux activités de locations meubles ou équipées exercées en direct, via une entreprise individuelle.</w:t>
      </w:r>
    </w:p>
    <w:p w14:paraId="58F64DC9" w14:textId="55C54C4B" w:rsidR="00C966F8" w:rsidRDefault="009006A2" w:rsidP="00C966F8">
      <w:pPr>
        <w:pStyle w:val="Intertitre3"/>
        <w:jc w:val="both"/>
      </w:pPr>
      <w:r>
        <w:t>E</w:t>
      </w:r>
      <w:r w:rsidR="00C966F8">
        <w:t>xploitants agricoles : a</w:t>
      </w:r>
      <w:r w:rsidR="00C966F8" w:rsidRPr="00C966F8">
        <w:t xml:space="preserve">ugmentation du seuil pour bénéficier d’une exonération de plus-value </w:t>
      </w:r>
    </w:p>
    <w:p w14:paraId="2D1F0188" w14:textId="77777777" w:rsidR="009006A2" w:rsidRDefault="00C966F8" w:rsidP="00C966F8">
      <w:pPr>
        <w:pStyle w:val="CorpsTexte"/>
      </w:pPr>
      <w:r>
        <w:t>Pour les cessions réalisées à compter du 1er janvier 2023, le dispositif d’exonération de plus-values professionnelles des petites entreprises dont le montant des recettes n’excède pas certains seuils est rehaussé uniquement au profit des activités agricoles</w:t>
      </w:r>
      <w:r>
        <w:t>.</w:t>
      </w:r>
      <w:r w:rsidR="009006A2">
        <w:t xml:space="preserve"> </w:t>
      </w:r>
    </w:p>
    <w:p w14:paraId="6A384D61" w14:textId="76F84293" w:rsidR="00C966F8" w:rsidRDefault="009006A2" w:rsidP="00C966F8">
      <w:pPr>
        <w:pStyle w:val="CorpsTexte"/>
      </w:pPr>
      <w:r>
        <w:t>Voici les nouvelles règles en vigueur pour les activités agricoles exclusivement :</w:t>
      </w:r>
    </w:p>
    <w:tbl>
      <w:tblPr>
        <w:tblW w:w="8959" w:type="dxa"/>
        <w:tblInd w:w="108" w:type="dxa"/>
        <w:tblBorders>
          <w:top w:val="single" w:sz="4" w:space="0" w:color="D9D9D9"/>
          <w:left w:val="single" w:sz="4" w:space="0" w:color="D9D9D9"/>
          <w:bottom w:val="single" w:sz="4" w:space="0" w:color="D9D9D9"/>
          <w:right w:val="single" w:sz="4" w:space="0" w:color="D9D9D9"/>
          <w:insideV w:val="single" w:sz="4" w:space="0" w:color="D9D9D9"/>
        </w:tblBorders>
        <w:tblLayout w:type="fixed"/>
        <w:tblCellMar>
          <w:top w:w="57" w:type="dxa"/>
          <w:bottom w:w="57" w:type="dxa"/>
        </w:tblCellMar>
        <w:tblLook w:val="0000" w:firstRow="0" w:lastRow="0" w:firstColumn="0" w:lastColumn="0" w:noHBand="0" w:noVBand="0"/>
      </w:tblPr>
      <w:tblGrid>
        <w:gridCol w:w="1820"/>
        <w:gridCol w:w="7139"/>
      </w:tblGrid>
      <w:tr w:rsidR="00C966F8" w14:paraId="269988B7" w14:textId="77777777" w:rsidTr="00C966F8">
        <w:trPr>
          <w:cantSplit/>
          <w:trHeight w:val="283"/>
        </w:trPr>
        <w:tc>
          <w:tcPr>
            <w:tcW w:w="1820" w:type="dxa"/>
            <w:shd w:val="clear" w:color="auto" w:fill="ECEFF1"/>
            <w:vAlign w:val="center"/>
          </w:tcPr>
          <w:p w14:paraId="3C5110E3" w14:textId="77777777" w:rsidR="00C966F8" w:rsidRPr="00097042" w:rsidRDefault="00C966F8" w:rsidP="00BF5037">
            <w:pPr>
              <w:pStyle w:val="TableauTexteLibelleLigneSurFond"/>
              <w:tabs>
                <w:tab w:val="left" w:pos="113"/>
              </w:tabs>
              <w:rPr>
                <w:sz w:val="21"/>
                <w:szCs w:val="21"/>
              </w:rPr>
            </w:pPr>
            <w:r w:rsidRPr="00097042">
              <w:rPr>
                <w:sz w:val="21"/>
                <w:szCs w:val="21"/>
              </w:rPr>
              <w:t xml:space="preserve">Exonération en fonction des recettes </w:t>
            </w:r>
          </w:p>
        </w:tc>
        <w:tc>
          <w:tcPr>
            <w:tcW w:w="7139" w:type="dxa"/>
            <w:shd w:val="clear" w:color="auto" w:fill="auto"/>
            <w:vAlign w:val="center"/>
          </w:tcPr>
          <w:p w14:paraId="0D019C40" w14:textId="77777777" w:rsidR="00C966F8" w:rsidRPr="00097042" w:rsidRDefault="00C966F8" w:rsidP="00BF5037">
            <w:pPr>
              <w:pStyle w:val="TableauTexteContenus"/>
              <w:rPr>
                <w:sz w:val="21"/>
                <w:szCs w:val="21"/>
              </w:rPr>
            </w:pPr>
            <w:r w:rsidRPr="00097042">
              <w:rPr>
                <w:sz w:val="21"/>
                <w:szCs w:val="21"/>
              </w:rPr>
              <w:t>Recettes &lt; 350 000 € HT</w:t>
            </w:r>
          </w:p>
          <w:p w14:paraId="11D3F72E" w14:textId="77777777" w:rsidR="00C966F8" w:rsidRPr="00097042" w:rsidRDefault="00C966F8" w:rsidP="00BF5037">
            <w:pPr>
              <w:pStyle w:val="TableauTexteContenus"/>
              <w:rPr>
                <w:sz w:val="21"/>
                <w:szCs w:val="21"/>
              </w:rPr>
            </w:pPr>
            <w:r w:rsidRPr="00097042">
              <w:rPr>
                <w:sz w:val="21"/>
                <w:szCs w:val="21"/>
              </w:rPr>
              <w:t>Exonération totale</w:t>
            </w:r>
          </w:p>
          <w:p w14:paraId="0BBE4E78" w14:textId="77777777" w:rsidR="00C966F8" w:rsidRPr="00097042" w:rsidRDefault="00C966F8" w:rsidP="00BF5037">
            <w:pPr>
              <w:pStyle w:val="TableauTexteContenus"/>
              <w:rPr>
                <w:sz w:val="21"/>
                <w:szCs w:val="21"/>
              </w:rPr>
            </w:pPr>
          </w:p>
          <w:p w14:paraId="1ED51242" w14:textId="77777777" w:rsidR="00C966F8" w:rsidRPr="00097042" w:rsidRDefault="00C966F8" w:rsidP="00BF5037">
            <w:pPr>
              <w:pStyle w:val="TableauTexteContenus"/>
              <w:rPr>
                <w:sz w:val="21"/>
                <w:szCs w:val="21"/>
              </w:rPr>
            </w:pPr>
            <w:r w:rsidRPr="00097042">
              <w:rPr>
                <w:sz w:val="21"/>
                <w:szCs w:val="21"/>
              </w:rPr>
              <w:t>350 000 € &lt; Recettes &lt; 450 000 € HT</w:t>
            </w:r>
          </w:p>
          <w:p w14:paraId="6F2A3E72" w14:textId="77777777" w:rsidR="00C966F8" w:rsidRPr="00097042" w:rsidRDefault="00C966F8" w:rsidP="00BF5037">
            <w:pPr>
              <w:pStyle w:val="TableauTexteContenus"/>
              <w:rPr>
                <w:sz w:val="21"/>
                <w:szCs w:val="21"/>
              </w:rPr>
            </w:pPr>
            <w:r w:rsidRPr="00097042">
              <w:rPr>
                <w:sz w:val="21"/>
                <w:szCs w:val="21"/>
              </w:rPr>
              <w:t>Exonération partielle</w:t>
            </w:r>
          </w:p>
          <w:p w14:paraId="42AA9EC3" w14:textId="77777777" w:rsidR="00C966F8" w:rsidRPr="00097042" w:rsidRDefault="00C966F8" w:rsidP="00BF5037">
            <w:pPr>
              <w:pStyle w:val="TableauTexteContenus"/>
              <w:rPr>
                <w:sz w:val="21"/>
                <w:szCs w:val="21"/>
              </w:rPr>
            </w:pPr>
            <w:r w:rsidRPr="00097042">
              <w:rPr>
                <w:sz w:val="21"/>
                <w:szCs w:val="21"/>
              </w:rPr>
              <w:t>taux d'exonération = (450 000 - montant des recettes) / 100 000</w:t>
            </w:r>
          </w:p>
        </w:tc>
      </w:tr>
    </w:tbl>
    <w:p w14:paraId="77F5BE14" w14:textId="77777777" w:rsidR="00C966F8" w:rsidRDefault="00C966F8" w:rsidP="00C966F8">
      <w:pPr>
        <w:pStyle w:val="CorpsTexte"/>
      </w:pPr>
    </w:p>
    <w:p w14:paraId="037684A5" w14:textId="77777777" w:rsidR="008C2141" w:rsidRDefault="008C2141">
      <w:pPr>
        <w:rPr>
          <w:rFonts w:ascii="Trebuchet MS" w:eastAsia="Trebuchet MS" w:hAnsi="Trebuchet MS" w:cs="Times New Roman"/>
          <w:b/>
          <w:color w:val="577188"/>
          <w:kern w:val="0"/>
          <w:sz w:val="28"/>
          <w:szCs w:val="20"/>
          <w:lang w:eastAsia="fr-FR"/>
          <w14:ligatures w14:val="none"/>
        </w:rPr>
      </w:pPr>
      <w:r>
        <w:br w:type="page"/>
      </w:r>
    </w:p>
    <w:p w14:paraId="26FD47F9" w14:textId="4977B1B1" w:rsidR="00F24320" w:rsidRDefault="00EA166B" w:rsidP="0080337C">
      <w:pPr>
        <w:pStyle w:val="Intertitre1"/>
      </w:pPr>
      <w:r>
        <w:lastRenderedPageBreak/>
        <w:t>Principales prorogations de</w:t>
      </w:r>
      <w:r w:rsidR="00F24320">
        <w:t xml:space="preserve"> dispositif</w:t>
      </w:r>
      <w:r>
        <w:t>s de défiscalisation</w:t>
      </w:r>
    </w:p>
    <w:p w14:paraId="40670A8F" w14:textId="69F39FA5" w:rsidR="00756818" w:rsidRPr="00756818" w:rsidRDefault="00EA166B" w:rsidP="00EA166B">
      <w:pPr>
        <w:pStyle w:val="CorpsTexte"/>
      </w:pPr>
      <w:r>
        <w:t>- Prolongation du</w:t>
      </w:r>
      <w:r w:rsidR="006143CB" w:rsidRPr="00756818">
        <w:t xml:space="preserve"> dispositif</w:t>
      </w:r>
      <w:r>
        <w:t xml:space="preserve"> d’investissement dans les</w:t>
      </w:r>
      <w:r w:rsidR="006143CB" w:rsidRPr="00756818">
        <w:t xml:space="preserve"> SOFICA jusqu’au 31 décembre 2026</w:t>
      </w:r>
      <w:r>
        <w:t>.</w:t>
      </w:r>
    </w:p>
    <w:p w14:paraId="4A0AE43B" w14:textId="0847E3E2" w:rsidR="0084324C" w:rsidRDefault="00EA166B" w:rsidP="00EA166B">
      <w:pPr>
        <w:pStyle w:val="CorpsTexte"/>
      </w:pPr>
      <w:r>
        <w:t xml:space="preserve">- Le dispositif Malraux </w:t>
      </w:r>
      <w:r w:rsidR="00A51E74" w:rsidRPr="0084324C">
        <w:t>est prorogé jusqu'au 31 décembre 2024.</w:t>
      </w:r>
    </w:p>
    <w:p w14:paraId="1F9EB1FE" w14:textId="56CF4E17" w:rsidR="00C6726B" w:rsidRPr="0084324C" w:rsidRDefault="00EA166B" w:rsidP="00EA166B">
      <w:pPr>
        <w:pStyle w:val="CorpsTexte"/>
      </w:pPr>
      <w:r>
        <w:t xml:space="preserve">- </w:t>
      </w:r>
      <w:r w:rsidR="00C6726B" w:rsidRPr="0084324C">
        <w:t>Le dispositif Denormandie (</w:t>
      </w:r>
      <w:r w:rsidR="008C2141">
        <w:t xml:space="preserve">visant </w:t>
      </w:r>
      <w:r>
        <w:t>à inciter les investissements dans des villes de taille moyenne, pour favoriser leur revitalisation, en particulier leur centre-ville</w:t>
      </w:r>
      <w:r w:rsidR="00C6726B" w:rsidRPr="0084324C">
        <w:t>), qui devait prendre fin le 31 décembre 2023, est prorogé jusqu’au 31 décembre 2026. Cette prorogation concerne également les SCPI Denorman</w:t>
      </w:r>
      <w:r w:rsidR="008C2141">
        <w:t>d</w:t>
      </w:r>
      <w:r w:rsidR="00C6726B" w:rsidRPr="0084324C">
        <w:t>ie.</w:t>
      </w:r>
    </w:p>
    <w:p w14:paraId="658F0C8F" w14:textId="77777777" w:rsidR="0093051A" w:rsidRDefault="0093051A" w:rsidP="0093051A">
      <w:pPr>
        <w:pStyle w:val="CorpsTexte"/>
      </w:pPr>
    </w:p>
    <w:p w14:paraId="5B3B43B5" w14:textId="77777777" w:rsidR="0093051A" w:rsidRPr="00B1607E" w:rsidRDefault="0093051A" w:rsidP="0093051A">
      <w:pPr>
        <w:pStyle w:val="CorpsTexte"/>
      </w:pPr>
    </w:p>
    <w:sectPr w:rsidR="0093051A" w:rsidRPr="00B160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583B" w14:textId="77777777" w:rsidR="006B7072" w:rsidRDefault="006B7072" w:rsidP="003B52C9">
      <w:pPr>
        <w:spacing w:after="0" w:line="240" w:lineRule="auto"/>
      </w:pPr>
      <w:r>
        <w:separator/>
      </w:r>
    </w:p>
  </w:endnote>
  <w:endnote w:type="continuationSeparator" w:id="0">
    <w:p w14:paraId="5DAA4345" w14:textId="77777777" w:rsidR="006B7072" w:rsidRDefault="006B7072" w:rsidP="003B52C9">
      <w:pPr>
        <w:spacing w:after="0" w:line="240" w:lineRule="auto"/>
      </w:pPr>
      <w:r>
        <w:continuationSeparator/>
      </w:r>
    </w:p>
  </w:endnote>
  <w:endnote w:type="continuationNotice" w:id="1">
    <w:p w14:paraId="23C408B3" w14:textId="77777777" w:rsidR="006B7072" w:rsidRDefault="006B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55DB" w14:textId="77777777" w:rsidR="006B7072" w:rsidRDefault="006B7072" w:rsidP="003B52C9">
      <w:pPr>
        <w:spacing w:after="0" w:line="240" w:lineRule="auto"/>
      </w:pPr>
      <w:r>
        <w:separator/>
      </w:r>
    </w:p>
  </w:footnote>
  <w:footnote w:type="continuationSeparator" w:id="0">
    <w:p w14:paraId="674CAAF9" w14:textId="77777777" w:rsidR="006B7072" w:rsidRDefault="006B7072" w:rsidP="003B52C9">
      <w:pPr>
        <w:spacing w:after="0" w:line="240" w:lineRule="auto"/>
      </w:pPr>
      <w:r>
        <w:continuationSeparator/>
      </w:r>
    </w:p>
  </w:footnote>
  <w:footnote w:type="continuationNotice" w:id="1">
    <w:p w14:paraId="7B7A17AC" w14:textId="77777777" w:rsidR="006B7072" w:rsidRDefault="006B70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E2"/>
    <w:multiLevelType w:val="multilevel"/>
    <w:tmpl w:val="A36A9372"/>
    <w:lvl w:ilvl="0">
      <w:start w:val="1"/>
      <w:numFmt w:val="bullet"/>
      <w:lvlText w:val=""/>
      <w:lvlJc w:val="left"/>
      <w:pPr>
        <w:tabs>
          <w:tab w:val="num" w:pos="360"/>
        </w:tabs>
        <w:ind w:left="360" w:hanging="360"/>
      </w:pPr>
    </w:lvl>
    <w:lvl w:ilvl="1">
      <w:start w:val="1"/>
      <w:numFmt w:val="bullet"/>
      <w:pStyle w:val="SousTitreChapitre"/>
      <w:suff w:val="nothing"/>
      <w:lvlText w:val=""/>
      <w:lvlJc w:val="left"/>
      <w:pPr>
        <w:ind w:left="0" w:firstLine="0"/>
      </w:pPr>
      <w:rPr>
        <w:rFonts w:ascii="Symbol" w:eastAsia="Symbol" w:hAnsi="Symbol" w:hint="default"/>
        <w:b/>
        <w:i w:val="0"/>
        <w:strike w:val="0"/>
        <w:dstrike w:val="0"/>
        <w:color w:val="595959"/>
        <w:position w:val="0"/>
        <w:sz w:val="2"/>
        <w:u w:val="none"/>
        <w:effect w:val="none"/>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02937B82"/>
    <w:multiLevelType w:val="multilevel"/>
    <w:tmpl w:val="E572FEF4"/>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pStyle w:val="Intertitre3"/>
      <w:suff w:val="nothing"/>
      <w:lvlText w:val=""/>
      <w:lvlJc w:val="left"/>
      <w:pPr>
        <w:ind w:left="0" w:firstLine="0"/>
      </w:pPr>
      <w:rPr>
        <w:rFonts w:ascii="Symbol" w:eastAsia="Symbol" w:hAnsi="Symbol" w:hint="default"/>
        <w:b w:val="0"/>
        <w:i w:val="0"/>
        <w:strike w:val="0"/>
        <w:dstrike w:val="0"/>
        <w:color w:val="577188"/>
        <w:position w:val="0"/>
        <w:sz w:val="2"/>
        <w:u w:val="none"/>
        <w:effect w:val="none"/>
      </w:r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11BA46FB"/>
    <w:multiLevelType w:val="multilevel"/>
    <w:tmpl w:val="79A0631A"/>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pStyle w:val="Intertitre1"/>
      <w:suff w:val="nothing"/>
      <w:lvlText w:val=""/>
      <w:lvlJc w:val="left"/>
      <w:pPr>
        <w:ind w:left="0" w:firstLine="0"/>
      </w:pPr>
      <w:rPr>
        <w:rFonts w:ascii="Symbol" w:eastAsia="Symbol" w:hAnsi="Symbol" w:hint="default"/>
        <w:b/>
        <w:i w:val="0"/>
        <w:strike w:val="0"/>
        <w:dstrike w:val="0"/>
        <w:color w:val="577188"/>
        <w:position w:val="0"/>
        <w:sz w:val="2"/>
        <w:u w:val="none"/>
        <w:effect w:val="none"/>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 w15:restartNumberingAfterBreak="0">
    <w:nsid w:val="11CE41BA"/>
    <w:multiLevelType w:val="hybridMultilevel"/>
    <w:tmpl w:val="F7900D02"/>
    <w:lvl w:ilvl="0" w:tplc="993AE74E">
      <w:start w:val="43"/>
      <w:numFmt w:val="bullet"/>
      <w:lvlText w:val="-"/>
      <w:lvlJc w:val="left"/>
      <w:pPr>
        <w:ind w:left="720" w:hanging="360"/>
      </w:pPr>
      <w:rPr>
        <w:rFonts w:ascii="Trebuchet MS" w:eastAsia="Trebuchet M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D45BF"/>
    <w:multiLevelType w:val="hybridMultilevel"/>
    <w:tmpl w:val="19A2CE8E"/>
    <w:lvl w:ilvl="0" w:tplc="993AE74E">
      <w:start w:val="85"/>
      <w:numFmt w:val="bullet"/>
      <w:lvlText w:val="-"/>
      <w:lvlJc w:val="left"/>
      <w:pPr>
        <w:ind w:left="720" w:hanging="360"/>
      </w:pPr>
      <w:rPr>
        <w:rFonts w:ascii="Trebuchet MS" w:eastAsia="Trebuchet M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8640F"/>
    <w:multiLevelType w:val="hybridMultilevel"/>
    <w:tmpl w:val="143C9794"/>
    <w:lvl w:ilvl="0" w:tplc="E7DC82EC">
      <w:start w:val="85"/>
      <w:numFmt w:val="bullet"/>
      <w:lvlText w:val="-"/>
      <w:lvlJc w:val="left"/>
      <w:pPr>
        <w:ind w:left="720" w:hanging="360"/>
      </w:pPr>
      <w:rPr>
        <w:rFonts w:ascii="Trebuchet MS" w:eastAsia="Trebuchet MS"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324A2B"/>
    <w:multiLevelType w:val="multilevel"/>
    <w:tmpl w:val="3AD425AE"/>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pStyle w:val="Intertitre2"/>
      <w:suff w:val="nothing"/>
      <w:lvlText w:val=""/>
      <w:lvlJc w:val="left"/>
      <w:pPr>
        <w:ind w:left="0" w:firstLine="0"/>
      </w:pPr>
      <w:rPr>
        <w:rFonts w:ascii="Symbol" w:eastAsia="Symbol" w:hAnsi="Symbol" w:hint="default"/>
        <w:b/>
        <w:i w:val="0"/>
        <w:strike w:val="0"/>
        <w:dstrike w:val="0"/>
        <w:color w:val="1D3461"/>
        <w:position w:val="0"/>
        <w:sz w:val="2"/>
        <w:u w:val="none"/>
        <w:effect w:val="none"/>
      </w:r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7" w15:restartNumberingAfterBreak="0">
    <w:nsid w:val="36C1413E"/>
    <w:multiLevelType w:val="singleLevel"/>
    <w:tmpl w:val="47C82C5A"/>
    <w:lvl w:ilvl="0">
      <w:start w:val="1"/>
      <w:numFmt w:val="bullet"/>
      <w:pStyle w:val="TitreChapitre"/>
      <w:suff w:val="nothing"/>
      <w:lvlText w:val=""/>
      <w:lvlJc w:val="left"/>
      <w:pPr>
        <w:ind w:left="0" w:firstLine="0"/>
      </w:pPr>
      <w:rPr>
        <w:rFonts w:ascii="Symbol" w:eastAsia="Symbol" w:hAnsi="Symbol" w:hint="default"/>
        <w:b/>
        <w:i w:val="0"/>
        <w:strike w:val="0"/>
        <w:dstrike w:val="0"/>
        <w:color w:val="577188"/>
        <w:position w:val="0"/>
        <w:sz w:val="2"/>
        <w:u w:val="none"/>
        <w:effect w:val="none"/>
      </w:rPr>
    </w:lvl>
  </w:abstractNum>
  <w:abstractNum w:abstractNumId="8" w15:restartNumberingAfterBreak="0">
    <w:nsid w:val="3EDB2B8A"/>
    <w:multiLevelType w:val="hybridMultilevel"/>
    <w:tmpl w:val="832EF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42C8B"/>
    <w:multiLevelType w:val="multilevel"/>
    <w:tmpl w:val="319CB7C0"/>
    <w:lvl w:ilvl="0">
      <w:start w:val="1"/>
      <w:numFmt w:val="bullet"/>
      <w:suff w:val="nothing"/>
      <w:lvlText w:val=""/>
      <w:lvlJc w:val="left"/>
      <w:pPr>
        <w:ind w:left="0" w:firstLine="0"/>
      </w:pPr>
      <w:rPr>
        <w:rFonts w:ascii="Symbol" w:eastAsia="Symbol" w:hAnsi="Symbol" w:hint="default"/>
        <w:b/>
        <w:i w:val="0"/>
        <w:strike w:val="0"/>
        <w:dstrike w:val="0"/>
        <w:color w:val="577188"/>
        <w:position w:val="0"/>
        <w:sz w:val="2"/>
        <w:u w:val="none"/>
        <w:effect w:val="none"/>
      </w:rPr>
    </w:lvl>
    <w:lvl w:ilvl="1">
      <w:start w:val="1"/>
      <w:numFmt w:val="bullet"/>
      <w:suff w:val="nothing"/>
      <w:lvlText w:val=""/>
      <w:lvlJc w:val="left"/>
      <w:pPr>
        <w:ind w:left="0" w:firstLine="0"/>
      </w:pPr>
      <w:rPr>
        <w:rFonts w:ascii="Symbol" w:eastAsia="Symbol" w:hAnsi="Symbol" w:hint="default"/>
        <w:b/>
        <w:i w:val="0"/>
        <w:strike w:val="0"/>
        <w:dstrike w:val="0"/>
        <w:color w:val="595959"/>
        <w:position w:val="0"/>
        <w:sz w:val="2"/>
        <w:u w:val="none"/>
        <w:effect w:val="none"/>
      </w:rPr>
    </w:lvl>
    <w:lvl w:ilvl="2">
      <w:start w:val="1"/>
      <w:numFmt w:val="bullet"/>
      <w:suff w:val="nothing"/>
      <w:lvlText w:val=""/>
      <w:lvlJc w:val="left"/>
      <w:pPr>
        <w:ind w:left="0" w:firstLine="0"/>
      </w:pPr>
      <w:rPr>
        <w:rFonts w:ascii="Symbol" w:eastAsia="Symbol" w:hAnsi="Symbol" w:hint="default"/>
        <w:b/>
        <w:i w:val="0"/>
        <w:strike w:val="0"/>
        <w:dstrike w:val="0"/>
        <w:color w:val="577188"/>
        <w:position w:val="0"/>
        <w:sz w:val="2"/>
        <w:u w:val="none"/>
        <w:effect w:val="none"/>
      </w:rPr>
    </w:lvl>
    <w:lvl w:ilvl="3">
      <w:start w:val="1"/>
      <w:numFmt w:val="bullet"/>
      <w:suff w:val="nothing"/>
      <w:lvlText w:val=""/>
      <w:lvlJc w:val="left"/>
      <w:pPr>
        <w:ind w:left="0" w:firstLine="0"/>
      </w:pPr>
      <w:rPr>
        <w:rFonts w:ascii="Symbol" w:eastAsia="Symbol" w:hAnsi="Symbol" w:hint="default"/>
        <w:b/>
        <w:i w:val="0"/>
        <w:strike w:val="0"/>
        <w:dstrike w:val="0"/>
        <w:color w:val="1D3461"/>
        <w:position w:val="0"/>
        <w:sz w:val="2"/>
        <w:u w:val="none"/>
        <w:effect w:val="none"/>
      </w:rPr>
    </w:lvl>
    <w:lvl w:ilvl="4">
      <w:start w:val="1"/>
      <w:numFmt w:val="bullet"/>
      <w:suff w:val="nothing"/>
      <w:lvlText w:val=""/>
      <w:lvlJc w:val="left"/>
      <w:pPr>
        <w:ind w:left="0" w:firstLine="0"/>
      </w:pPr>
      <w:rPr>
        <w:rFonts w:ascii="Symbol" w:eastAsia="Symbol" w:hAnsi="Symbol" w:hint="default"/>
        <w:b w:val="0"/>
        <w:i w:val="0"/>
        <w:strike w:val="0"/>
        <w:dstrike w:val="0"/>
        <w:color w:val="577188"/>
        <w:position w:val="0"/>
        <w:sz w:val="2"/>
        <w:u w:val="none"/>
        <w:effect w:val="none"/>
      </w:r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val="0"/>
        <w:i w:val="0"/>
        <w:strike w:val="0"/>
        <w:dstrike w:val="0"/>
        <w:color w:val="595959"/>
        <w:position w:val="0"/>
        <w:sz w:val="21"/>
        <w:u w:val="none"/>
        <w:effect w:val="none"/>
      </w:rPr>
    </w:lvl>
    <w:lvl w:ilvl="7">
      <w:start w:val="1"/>
      <w:numFmt w:val="bullet"/>
      <w:lvlText w:val=""/>
      <w:lvlJc w:val="left"/>
      <w:pPr>
        <w:tabs>
          <w:tab w:val="num" w:pos="1089"/>
        </w:tabs>
        <w:ind w:left="1089" w:hanging="363"/>
      </w:pPr>
      <w:rPr>
        <w:rFonts w:ascii="Symbol" w:eastAsia="Symbol" w:hAnsi="Symbol" w:hint="default"/>
        <w:b w:val="0"/>
        <w:i w:val="0"/>
        <w:strike w:val="0"/>
        <w:dstrike w:val="0"/>
        <w:color w:val="595959"/>
        <w:position w:val="0"/>
        <w:sz w:val="21"/>
        <w:u w:val="none"/>
        <w:effect w:val="none"/>
      </w:rPr>
    </w:lvl>
    <w:lvl w:ilvl="8">
      <w:start w:val="1"/>
      <w:numFmt w:val="bullet"/>
      <w:lvlText w:val=""/>
      <w:lvlJc w:val="left"/>
      <w:pPr>
        <w:tabs>
          <w:tab w:val="num" w:pos="3240"/>
        </w:tabs>
        <w:ind w:left="3240" w:hanging="360"/>
      </w:pPr>
    </w:lvl>
  </w:abstractNum>
  <w:abstractNum w:abstractNumId="10" w15:restartNumberingAfterBreak="0">
    <w:nsid w:val="442C0107"/>
    <w:multiLevelType w:val="multilevel"/>
    <w:tmpl w:val="0D4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425DA"/>
    <w:multiLevelType w:val="hybridMultilevel"/>
    <w:tmpl w:val="AC0A9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26808914">
    <w:abstractNumId w:val="7"/>
  </w:num>
  <w:num w:numId="2" w16cid:durableId="1857032791">
    <w:abstractNumId w:val="9"/>
  </w:num>
  <w:num w:numId="3" w16cid:durableId="1245602253">
    <w:abstractNumId w:val="11"/>
  </w:num>
  <w:num w:numId="4" w16cid:durableId="1520972788">
    <w:abstractNumId w:val="0"/>
  </w:num>
  <w:num w:numId="5" w16cid:durableId="1485317608">
    <w:abstractNumId w:val="2"/>
  </w:num>
  <w:num w:numId="6" w16cid:durableId="661547167">
    <w:abstractNumId w:val="6"/>
  </w:num>
  <w:num w:numId="7" w16cid:durableId="1492527848">
    <w:abstractNumId w:val="1"/>
  </w:num>
  <w:num w:numId="8" w16cid:durableId="1354068899">
    <w:abstractNumId w:val="0"/>
  </w:num>
  <w:num w:numId="9" w16cid:durableId="984044749">
    <w:abstractNumId w:val="5"/>
  </w:num>
  <w:num w:numId="10" w16cid:durableId="90319359">
    <w:abstractNumId w:val="4"/>
  </w:num>
  <w:num w:numId="11" w16cid:durableId="739403506">
    <w:abstractNumId w:val="10"/>
  </w:num>
  <w:num w:numId="12" w16cid:durableId="16471201">
    <w:abstractNumId w:val="3"/>
  </w:num>
  <w:num w:numId="13" w16cid:durableId="1009329525">
    <w:abstractNumId w:val="8"/>
  </w:num>
  <w:num w:numId="14" w16cid:durableId="182118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61"/>
    <w:rsid w:val="0000394A"/>
    <w:rsid w:val="0001128E"/>
    <w:rsid w:val="00014752"/>
    <w:rsid w:val="000237F3"/>
    <w:rsid w:val="000379F6"/>
    <w:rsid w:val="00041D22"/>
    <w:rsid w:val="0005205A"/>
    <w:rsid w:val="0009589E"/>
    <w:rsid w:val="00096BCA"/>
    <w:rsid w:val="00097042"/>
    <w:rsid w:val="00097EA6"/>
    <w:rsid w:val="000C29DB"/>
    <w:rsid w:val="000C3C30"/>
    <w:rsid w:val="000C600F"/>
    <w:rsid w:val="000F311E"/>
    <w:rsid w:val="000F40B4"/>
    <w:rsid w:val="000F5440"/>
    <w:rsid w:val="0010403B"/>
    <w:rsid w:val="00112675"/>
    <w:rsid w:val="0013095B"/>
    <w:rsid w:val="001356DC"/>
    <w:rsid w:val="0015285F"/>
    <w:rsid w:val="00152AAF"/>
    <w:rsid w:val="001618CB"/>
    <w:rsid w:val="0016373A"/>
    <w:rsid w:val="00171A22"/>
    <w:rsid w:val="001851D8"/>
    <w:rsid w:val="001900D6"/>
    <w:rsid w:val="00190F02"/>
    <w:rsid w:val="00195DA2"/>
    <w:rsid w:val="00195F62"/>
    <w:rsid w:val="001A2DD4"/>
    <w:rsid w:val="001B0DE7"/>
    <w:rsid w:val="001B0EF5"/>
    <w:rsid w:val="001C1269"/>
    <w:rsid w:val="001C72CE"/>
    <w:rsid w:val="001E543F"/>
    <w:rsid w:val="001F3C9A"/>
    <w:rsid w:val="0021030A"/>
    <w:rsid w:val="00215AE0"/>
    <w:rsid w:val="00260995"/>
    <w:rsid w:val="00274DD1"/>
    <w:rsid w:val="002871EF"/>
    <w:rsid w:val="0028785F"/>
    <w:rsid w:val="0029399E"/>
    <w:rsid w:val="002B11FB"/>
    <w:rsid w:val="002B1C6F"/>
    <w:rsid w:val="002B76A2"/>
    <w:rsid w:val="002C6E8D"/>
    <w:rsid w:val="002E076D"/>
    <w:rsid w:val="002E5833"/>
    <w:rsid w:val="002E782C"/>
    <w:rsid w:val="002F30F8"/>
    <w:rsid w:val="002F7799"/>
    <w:rsid w:val="00342B19"/>
    <w:rsid w:val="003540FE"/>
    <w:rsid w:val="00360452"/>
    <w:rsid w:val="00386983"/>
    <w:rsid w:val="003B52C9"/>
    <w:rsid w:val="003E757D"/>
    <w:rsid w:val="003F76A7"/>
    <w:rsid w:val="00402DA8"/>
    <w:rsid w:val="00407DD5"/>
    <w:rsid w:val="00410543"/>
    <w:rsid w:val="00410C73"/>
    <w:rsid w:val="004113D1"/>
    <w:rsid w:val="00422074"/>
    <w:rsid w:val="004234D6"/>
    <w:rsid w:val="0042765F"/>
    <w:rsid w:val="0045233F"/>
    <w:rsid w:val="004565AA"/>
    <w:rsid w:val="00475DFE"/>
    <w:rsid w:val="0048207C"/>
    <w:rsid w:val="00483362"/>
    <w:rsid w:val="004D05B9"/>
    <w:rsid w:val="004D35F8"/>
    <w:rsid w:val="004E7F8D"/>
    <w:rsid w:val="004F2021"/>
    <w:rsid w:val="005052EF"/>
    <w:rsid w:val="0050619B"/>
    <w:rsid w:val="00527773"/>
    <w:rsid w:val="00541369"/>
    <w:rsid w:val="005568D6"/>
    <w:rsid w:val="00576F76"/>
    <w:rsid w:val="005B307F"/>
    <w:rsid w:val="005C7AC6"/>
    <w:rsid w:val="005D2998"/>
    <w:rsid w:val="005F772B"/>
    <w:rsid w:val="005F7D29"/>
    <w:rsid w:val="00601FC2"/>
    <w:rsid w:val="006041C2"/>
    <w:rsid w:val="006143CB"/>
    <w:rsid w:val="00617307"/>
    <w:rsid w:val="006252B3"/>
    <w:rsid w:val="00626AB9"/>
    <w:rsid w:val="00634003"/>
    <w:rsid w:val="00637339"/>
    <w:rsid w:val="00666773"/>
    <w:rsid w:val="006A1C17"/>
    <w:rsid w:val="006B7072"/>
    <w:rsid w:val="006D438E"/>
    <w:rsid w:val="006E2BDB"/>
    <w:rsid w:val="006E6AF8"/>
    <w:rsid w:val="00704584"/>
    <w:rsid w:val="00706B31"/>
    <w:rsid w:val="00724563"/>
    <w:rsid w:val="00726643"/>
    <w:rsid w:val="0073053F"/>
    <w:rsid w:val="00752647"/>
    <w:rsid w:val="00752B62"/>
    <w:rsid w:val="00756818"/>
    <w:rsid w:val="00771E3C"/>
    <w:rsid w:val="00775A35"/>
    <w:rsid w:val="00776C1E"/>
    <w:rsid w:val="007827EB"/>
    <w:rsid w:val="007C2665"/>
    <w:rsid w:val="007E4324"/>
    <w:rsid w:val="007E71CC"/>
    <w:rsid w:val="007F7C5E"/>
    <w:rsid w:val="0080337C"/>
    <w:rsid w:val="00806202"/>
    <w:rsid w:val="008063E4"/>
    <w:rsid w:val="008323DD"/>
    <w:rsid w:val="008332ED"/>
    <w:rsid w:val="00833725"/>
    <w:rsid w:val="00834623"/>
    <w:rsid w:val="00834F32"/>
    <w:rsid w:val="0084324C"/>
    <w:rsid w:val="00860EF4"/>
    <w:rsid w:val="00866BAB"/>
    <w:rsid w:val="0087346B"/>
    <w:rsid w:val="00887AC1"/>
    <w:rsid w:val="008C02F1"/>
    <w:rsid w:val="008C2141"/>
    <w:rsid w:val="008C77C4"/>
    <w:rsid w:val="009006A2"/>
    <w:rsid w:val="00907200"/>
    <w:rsid w:val="0093051A"/>
    <w:rsid w:val="00961E1B"/>
    <w:rsid w:val="0099060C"/>
    <w:rsid w:val="009A1743"/>
    <w:rsid w:val="009F7CBE"/>
    <w:rsid w:val="00A248A4"/>
    <w:rsid w:val="00A35CB4"/>
    <w:rsid w:val="00A51E74"/>
    <w:rsid w:val="00A5393A"/>
    <w:rsid w:val="00A9706A"/>
    <w:rsid w:val="00AB4F0D"/>
    <w:rsid w:val="00AD33AB"/>
    <w:rsid w:val="00AD5858"/>
    <w:rsid w:val="00AF519D"/>
    <w:rsid w:val="00B1472C"/>
    <w:rsid w:val="00B1607E"/>
    <w:rsid w:val="00B3168C"/>
    <w:rsid w:val="00BA0B50"/>
    <w:rsid w:val="00BA2F42"/>
    <w:rsid w:val="00BA373D"/>
    <w:rsid w:val="00BD10FC"/>
    <w:rsid w:val="00BF1D8C"/>
    <w:rsid w:val="00BF5B46"/>
    <w:rsid w:val="00C251FB"/>
    <w:rsid w:val="00C30B6B"/>
    <w:rsid w:val="00C30FB1"/>
    <w:rsid w:val="00C31F4D"/>
    <w:rsid w:val="00C503C1"/>
    <w:rsid w:val="00C544C5"/>
    <w:rsid w:val="00C63608"/>
    <w:rsid w:val="00C6726B"/>
    <w:rsid w:val="00C8586D"/>
    <w:rsid w:val="00C86522"/>
    <w:rsid w:val="00C86612"/>
    <w:rsid w:val="00C879A4"/>
    <w:rsid w:val="00C902B1"/>
    <w:rsid w:val="00C966F8"/>
    <w:rsid w:val="00CA3272"/>
    <w:rsid w:val="00CA7934"/>
    <w:rsid w:val="00CB7F3D"/>
    <w:rsid w:val="00CC02A1"/>
    <w:rsid w:val="00CC1D8E"/>
    <w:rsid w:val="00CC1DFB"/>
    <w:rsid w:val="00CD23BA"/>
    <w:rsid w:val="00CD5FB0"/>
    <w:rsid w:val="00CE71D2"/>
    <w:rsid w:val="00D01DE1"/>
    <w:rsid w:val="00D0656F"/>
    <w:rsid w:val="00D139C9"/>
    <w:rsid w:val="00D4095A"/>
    <w:rsid w:val="00D42727"/>
    <w:rsid w:val="00D451E3"/>
    <w:rsid w:val="00D45D6C"/>
    <w:rsid w:val="00D67267"/>
    <w:rsid w:val="00DD248C"/>
    <w:rsid w:val="00DE46EC"/>
    <w:rsid w:val="00E229F1"/>
    <w:rsid w:val="00E24029"/>
    <w:rsid w:val="00E30A98"/>
    <w:rsid w:val="00E317EA"/>
    <w:rsid w:val="00E47A3A"/>
    <w:rsid w:val="00E51146"/>
    <w:rsid w:val="00E70C44"/>
    <w:rsid w:val="00E9338D"/>
    <w:rsid w:val="00EA166B"/>
    <w:rsid w:val="00ED610D"/>
    <w:rsid w:val="00F123C4"/>
    <w:rsid w:val="00F13CB6"/>
    <w:rsid w:val="00F220CB"/>
    <w:rsid w:val="00F24320"/>
    <w:rsid w:val="00F33624"/>
    <w:rsid w:val="00F37C66"/>
    <w:rsid w:val="00F52C77"/>
    <w:rsid w:val="00F84E61"/>
    <w:rsid w:val="00FB2ACB"/>
    <w:rsid w:val="00FC542B"/>
    <w:rsid w:val="00FD308E"/>
    <w:rsid w:val="00FF088C"/>
    <w:rsid w:val="00FF521F"/>
    <w:rsid w:val="00FF7525"/>
    <w:rsid w:val="00FF7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92E1"/>
  <w15:chartTrackingRefBased/>
  <w15:docId w15:val="{B2F84729-7C1C-4A26-9A95-8AB98F20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834F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75681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hapitre">
    <w:name w:val="TitreChapitre"/>
    <w:basedOn w:val="Normal"/>
    <w:qFormat/>
    <w:rsid w:val="00FF088C"/>
    <w:pPr>
      <w:keepNext/>
      <w:pageBreakBefore/>
      <w:numPr>
        <w:numId w:val="1"/>
      </w:numPr>
      <w:spacing w:after="567" w:line="240" w:lineRule="auto"/>
    </w:pPr>
    <w:rPr>
      <w:rFonts w:ascii="Trebuchet MS" w:eastAsia="Trebuchet MS" w:hAnsi="Trebuchet MS" w:cs="Times New Roman"/>
      <w:b/>
      <w:color w:val="577188"/>
      <w:kern w:val="0"/>
      <w:sz w:val="44"/>
      <w:szCs w:val="20"/>
      <w:lang w:eastAsia="fr-FR"/>
      <w14:ligatures w14:val="none"/>
    </w:rPr>
  </w:style>
  <w:style w:type="paragraph" w:customStyle="1" w:styleId="CorpsTexte">
    <w:name w:val="CorpsTexte"/>
    <w:basedOn w:val="Normal"/>
    <w:qFormat/>
    <w:rsid w:val="001B0DE7"/>
    <w:pPr>
      <w:spacing w:before="181" w:after="181" w:line="264" w:lineRule="auto"/>
      <w:jc w:val="both"/>
    </w:pPr>
    <w:rPr>
      <w:rFonts w:ascii="Trebuchet MS" w:eastAsia="Trebuchet MS" w:hAnsi="Trebuchet MS" w:cs="Times New Roman"/>
      <w:color w:val="595959"/>
      <w:kern w:val="0"/>
      <w:sz w:val="21"/>
      <w:szCs w:val="20"/>
      <w:lang w:eastAsia="fr-FR"/>
      <w14:ligatures w14:val="none"/>
    </w:rPr>
  </w:style>
  <w:style w:type="paragraph" w:customStyle="1" w:styleId="TexteEntete">
    <w:name w:val="TexteEntete"/>
    <w:basedOn w:val="Normal"/>
    <w:qFormat/>
    <w:rsid w:val="001B0DE7"/>
    <w:pPr>
      <w:spacing w:after="0" w:line="288" w:lineRule="auto"/>
    </w:pPr>
    <w:rPr>
      <w:rFonts w:ascii="Trebuchet MS" w:eastAsia="Trebuchet MS" w:hAnsi="Trebuchet MS" w:cs="Times New Roman"/>
      <w:color w:val="595959"/>
      <w:kern w:val="0"/>
      <w:sz w:val="16"/>
      <w:szCs w:val="20"/>
      <w:lang w:eastAsia="fr-FR"/>
      <w14:ligatures w14:val="none"/>
    </w:rPr>
  </w:style>
  <w:style w:type="paragraph" w:customStyle="1" w:styleId="SousTitreChapitre">
    <w:name w:val="SousTitreChapitre"/>
    <w:basedOn w:val="Normal"/>
    <w:qFormat/>
    <w:rsid w:val="00BA2F42"/>
    <w:pPr>
      <w:keepNext/>
      <w:numPr>
        <w:ilvl w:val="1"/>
        <w:numId w:val="4"/>
      </w:numPr>
      <w:spacing w:before="340" w:after="227" w:line="240" w:lineRule="auto"/>
    </w:pPr>
    <w:rPr>
      <w:rFonts w:ascii="Trebuchet MS" w:eastAsia="Trebuchet MS" w:hAnsi="Trebuchet MS" w:cs="Times New Roman"/>
      <w:b/>
      <w:color w:val="595959"/>
      <w:kern w:val="0"/>
      <w:sz w:val="40"/>
      <w:szCs w:val="20"/>
      <w:lang w:eastAsia="fr-FR"/>
      <w14:ligatures w14:val="none"/>
    </w:rPr>
  </w:style>
  <w:style w:type="paragraph" w:customStyle="1" w:styleId="Intertitre1">
    <w:name w:val="Intertitre1"/>
    <w:basedOn w:val="Normal"/>
    <w:qFormat/>
    <w:rsid w:val="000C3C30"/>
    <w:pPr>
      <w:keepNext/>
      <w:numPr>
        <w:ilvl w:val="2"/>
        <w:numId w:val="5"/>
      </w:numPr>
      <w:spacing w:before="374" w:after="62" w:line="240" w:lineRule="auto"/>
    </w:pPr>
    <w:rPr>
      <w:rFonts w:ascii="Trebuchet MS" w:eastAsia="Trebuchet MS" w:hAnsi="Trebuchet MS" w:cs="Times New Roman"/>
      <w:b/>
      <w:color w:val="577188"/>
      <w:kern w:val="0"/>
      <w:sz w:val="28"/>
      <w:szCs w:val="20"/>
      <w:lang w:eastAsia="fr-FR"/>
      <w14:ligatures w14:val="none"/>
    </w:rPr>
  </w:style>
  <w:style w:type="paragraph" w:customStyle="1" w:styleId="Intertitre2">
    <w:name w:val="Intertitre2"/>
    <w:basedOn w:val="Normal"/>
    <w:qFormat/>
    <w:rsid w:val="000C3C30"/>
    <w:pPr>
      <w:keepNext/>
      <w:numPr>
        <w:ilvl w:val="3"/>
        <w:numId w:val="6"/>
      </w:numPr>
      <w:spacing w:before="249" w:after="62" w:line="240" w:lineRule="auto"/>
    </w:pPr>
    <w:rPr>
      <w:rFonts w:ascii="Trebuchet MS" w:eastAsia="Trebuchet MS" w:hAnsi="Trebuchet MS" w:cs="Times New Roman"/>
      <w:b/>
      <w:color w:val="1D3461"/>
      <w:kern w:val="0"/>
      <w:sz w:val="24"/>
      <w:szCs w:val="20"/>
      <w:lang w:eastAsia="fr-FR"/>
      <w14:ligatures w14:val="none"/>
    </w:rPr>
  </w:style>
  <w:style w:type="paragraph" w:customStyle="1" w:styleId="Intertitre3">
    <w:name w:val="Intertitre3"/>
    <w:basedOn w:val="Normal"/>
    <w:qFormat/>
    <w:rsid w:val="000C3C30"/>
    <w:pPr>
      <w:keepNext/>
      <w:numPr>
        <w:ilvl w:val="4"/>
        <w:numId w:val="7"/>
      </w:numPr>
      <w:spacing w:before="249" w:after="62" w:line="240" w:lineRule="auto"/>
    </w:pPr>
    <w:rPr>
      <w:rFonts w:ascii="Trebuchet MS" w:eastAsia="Trebuchet MS" w:hAnsi="Trebuchet MS" w:cs="Times New Roman"/>
      <w:color w:val="577188"/>
      <w:kern w:val="0"/>
      <w:sz w:val="21"/>
      <w:szCs w:val="20"/>
      <w:u w:val="single"/>
      <w:lang w:eastAsia="fr-FR"/>
      <w14:ligatures w14:val="none"/>
    </w:rPr>
  </w:style>
  <w:style w:type="table" w:styleId="Grilledutableau">
    <w:name w:val="Table Grid"/>
    <w:basedOn w:val="TableauNormal"/>
    <w:uiPriority w:val="39"/>
    <w:rsid w:val="0004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756818"/>
    <w:rPr>
      <w:rFonts w:ascii="Times New Roman" w:eastAsia="Times New Roman" w:hAnsi="Times New Roman" w:cs="Times New Roman"/>
      <w:b/>
      <w:bCs/>
      <w:kern w:val="0"/>
      <w:sz w:val="24"/>
      <w:szCs w:val="24"/>
      <w:lang w:eastAsia="fr-FR"/>
      <w14:ligatures w14:val="none"/>
    </w:rPr>
  </w:style>
  <w:style w:type="character" w:customStyle="1" w:styleId="fd-update">
    <w:name w:val="fd-update"/>
    <w:basedOn w:val="Policepardfaut"/>
    <w:rsid w:val="00C6726B"/>
  </w:style>
  <w:style w:type="paragraph" w:styleId="NormalWeb">
    <w:name w:val="Normal (Web)"/>
    <w:basedOn w:val="Normal"/>
    <w:uiPriority w:val="99"/>
    <w:unhideWhenUsed/>
    <w:rsid w:val="00C879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3Car">
    <w:name w:val="Titre 3 Car"/>
    <w:basedOn w:val="Policepardfaut"/>
    <w:link w:val="Titre3"/>
    <w:uiPriority w:val="9"/>
    <w:semiHidden/>
    <w:rsid w:val="00834F32"/>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3B52C9"/>
    <w:pPr>
      <w:tabs>
        <w:tab w:val="center" w:pos="4536"/>
        <w:tab w:val="right" w:pos="9072"/>
      </w:tabs>
      <w:spacing w:after="0" w:line="240" w:lineRule="auto"/>
    </w:pPr>
  </w:style>
  <w:style w:type="character" w:customStyle="1" w:styleId="En-tteCar">
    <w:name w:val="En-tête Car"/>
    <w:basedOn w:val="Policepardfaut"/>
    <w:link w:val="En-tte"/>
    <w:uiPriority w:val="99"/>
    <w:rsid w:val="003B52C9"/>
  </w:style>
  <w:style w:type="paragraph" w:styleId="Pieddepage">
    <w:name w:val="footer"/>
    <w:basedOn w:val="Normal"/>
    <w:link w:val="PieddepageCar"/>
    <w:uiPriority w:val="99"/>
    <w:unhideWhenUsed/>
    <w:rsid w:val="003B5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2C9"/>
  </w:style>
  <w:style w:type="table" w:styleId="TableauListe3-Accentuation1">
    <w:name w:val="List Table 3 Accent 1"/>
    <w:basedOn w:val="TableauNormal"/>
    <w:uiPriority w:val="48"/>
    <w:rsid w:val="0042765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Grille5Fonc-Accentuation1">
    <w:name w:val="Grid Table 5 Dark Accent 1"/>
    <w:basedOn w:val="TableauNormal"/>
    <w:uiPriority w:val="50"/>
    <w:rsid w:val="004276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4-Accentuation5">
    <w:name w:val="Grid Table 4 Accent 5"/>
    <w:basedOn w:val="TableauNormal"/>
    <w:uiPriority w:val="49"/>
    <w:rsid w:val="004276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3-Accentuation5">
    <w:name w:val="List Table 3 Accent 5"/>
    <w:basedOn w:val="TableauNormal"/>
    <w:uiPriority w:val="48"/>
    <w:rsid w:val="004276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4-Accentuation1">
    <w:name w:val="List Table 4 Accent 1"/>
    <w:basedOn w:val="TableauNormal"/>
    <w:uiPriority w:val="49"/>
    <w:rsid w:val="00BD10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1">
    <w:name w:val="Grid Table 4 Accent 1"/>
    <w:basedOn w:val="TableauNormal"/>
    <w:uiPriority w:val="49"/>
    <w:rsid w:val="000520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nvoiTableau">
    <w:name w:val="RenvoiTableau"/>
    <w:basedOn w:val="CorpsTexte"/>
    <w:qFormat/>
    <w:rsid w:val="00096BCA"/>
    <w:pPr>
      <w:spacing w:before="159"/>
    </w:pPr>
    <w:rPr>
      <w:i/>
      <w:sz w:val="18"/>
    </w:rPr>
  </w:style>
  <w:style w:type="paragraph" w:customStyle="1" w:styleId="TableauTexteContenus">
    <w:name w:val="TableauTexteContenus"/>
    <w:basedOn w:val="Normal"/>
    <w:qFormat/>
    <w:rsid w:val="00C966F8"/>
    <w:pPr>
      <w:spacing w:after="0" w:line="240" w:lineRule="auto"/>
      <w:jc w:val="center"/>
    </w:pPr>
    <w:rPr>
      <w:rFonts w:ascii="Trebuchet MS" w:eastAsia="Trebuchet MS" w:hAnsi="Trebuchet MS" w:cs="Times New Roman"/>
      <w:color w:val="595959"/>
      <w:kern w:val="0"/>
      <w:sz w:val="19"/>
      <w:szCs w:val="20"/>
      <w:lang w:eastAsia="fr-FR"/>
      <w14:ligatures w14:val="none"/>
    </w:rPr>
  </w:style>
  <w:style w:type="paragraph" w:customStyle="1" w:styleId="TableauTexteLibelleLigneSurFond">
    <w:name w:val="TableauTexteLibelleLigneSurFond"/>
    <w:basedOn w:val="Normal"/>
    <w:qFormat/>
    <w:rsid w:val="00C966F8"/>
    <w:pPr>
      <w:spacing w:before="62" w:after="62" w:line="240" w:lineRule="auto"/>
    </w:pPr>
    <w:rPr>
      <w:rFonts w:ascii="Trebuchet MS" w:eastAsia="Trebuchet MS" w:hAnsi="Trebuchet MS" w:cs="Times New Roman"/>
      <w:b/>
      <w:color w:val="595959"/>
      <w:kern w:val="0"/>
      <w:sz w:val="19"/>
      <w:szCs w:val="20"/>
      <w:shd w:val="clear" w:color="auto" w:fill="ECEFF1"/>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709">
      <w:bodyDiv w:val="1"/>
      <w:marLeft w:val="0"/>
      <w:marRight w:val="0"/>
      <w:marTop w:val="0"/>
      <w:marBottom w:val="0"/>
      <w:divBdr>
        <w:top w:val="none" w:sz="0" w:space="0" w:color="auto"/>
        <w:left w:val="none" w:sz="0" w:space="0" w:color="auto"/>
        <w:bottom w:val="none" w:sz="0" w:space="0" w:color="auto"/>
        <w:right w:val="none" w:sz="0" w:space="0" w:color="auto"/>
      </w:divBdr>
    </w:div>
    <w:div w:id="92748113">
      <w:bodyDiv w:val="1"/>
      <w:marLeft w:val="0"/>
      <w:marRight w:val="0"/>
      <w:marTop w:val="0"/>
      <w:marBottom w:val="0"/>
      <w:divBdr>
        <w:top w:val="none" w:sz="0" w:space="0" w:color="auto"/>
        <w:left w:val="none" w:sz="0" w:space="0" w:color="auto"/>
        <w:bottom w:val="none" w:sz="0" w:space="0" w:color="auto"/>
        <w:right w:val="none" w:sz="0" w:space="0" w:color="auto"/>
      </w:divBdr>
    </w:div>
    <w:div w:id="109470030">
      <w:bodyDiv w:val="1"/>
      <w:marLeft w:val="0"/>
      <w:marRight w:val="0"/>
      <w:marTop w:val="0"/>
      <w:marBottom w:val="0"/>
      <w:divBdr>
        <w:top w:val="none" w:sz="0" w:space="0" w:color="auto"/>
        <w:left w:val="none" w:sz="0" w:space="0" w:color="auto"/>
        <w:bottom w:val="none" w:sz="0" w:space="0" w:color="auto"/>
        <w:right w:val="none" w:sz="0" w:space="0" w:color="auto"/>
      </w:divBdr>
    </w:div>
    <w:div w:id="210386691">
      <w:bodyDiv w:val="1"/>
      <w:marLeft w:val="0"/>
      <w:marRight w:val="0"/>
      <w:marTop w:val="0"/>
      <w:marBottom w:val="0"/>
      <w:divBdr>
        <w:top w:val="none" w:sz="0" w:space="0" w:color="auto"/>
        <w:left w:val="none" w:sz="0" w:space="0" w:color="auto"/>
        <w:bottom w:val="none" w:sz="0" w:space="0" w:color="auto"/>
        <w:right w:val="none" w:sz="0" w:space="0" w:color="auto"/>
      </w:divBdr>
    </w:div>
    <w:div w:id="244723934">
      <w:bodyDiv w:val="1"/>
      <w:marLeft w:val="0"/>
      <w:marRight w:val="0"/>
      <w:marTop w:val="0"/>
      <w:marBottom w:val="0"/>
      <w:divBdr>
        <w:top w:val="none" w:sz="0" w:space="0" w:color="auto"/>
        <w:left w:val="none" w:sz="0" w:space="0" w:color="auto"/>
        <w:bottom w:val="none" w:sz="0" w:space="0" w:color="auto"/>
        <w:right w:val="none" w:sz="0" w:space="0" w:color="auto"/>
      </w:divBdr>
    </w:div>
    <w:div w:id="282081562">
      <w:bodyDiv w:val="1"/>
      <w:marLeft w:val="0"/>
      <w:marRight w:val="0"/>
      <w:marTop w:val="0"/>
      <w:marBottom w:val="0"/>
      <w:divBdr>
        <w:top w:val="none" w:sz="0" w:space="0" w:color="auto"/>
        <w:left w:val="none" w:sz="0" w:space="0" w:color="auto"/>
        <w:bottom w:val="none" w:sz="0" w:space="0" w:color="auto"/>
        <w:right w:val="none" w:sz="0" w:space="0" w:color="auto"/>
      </w:divBdr>
    </w:div>
    <w:div w:id="366878573">
      <w:bodyDiv w:val="1"/>
      <w:marLeft w:val="0"/>
      <w:marRight w:val="0"/>
      <w:marTop w:val="0"/>
      <w:marBottom w:val="0"/>
      <w:divBdr>
        <w:top w:val="none" w:sz="0" w:space="0" w:color="auto"/>
        <w:left w:val="none" w:sz="0" w:space="0" w:color="auto"/>
        <w:bottom w:val="none" w:sz="0" w:space="0" w:color="auto"/>
        <w:right w:val="none" w:sz="0" w:space="0" w:color="auto"/>
      </w:divBdr>
    </w:div>
    <w:div w:id="404033010">
      <w:bodyDiv w:val="1"/>
      <w:marLeft w:val="0"/>
      <w:marRight w:val="0"/>
      <w:marTop w:val="0"/>
      <w:marBottom w:val="0"/>
      <w:divBdr>
        <w:top w:val="none" w:sz="0" w:space="0" w:color="auto"/>
        <w:left w:val="none" w:sz="0" w:space="0" w:color="auto"/>
        <w:bottom w:val="none" w:sz="0" w:space="0" w:color="auto"/>
        <w:right w:val="none" w:sz="0" w:space="0" w:color="auto"/>
      </w:divBdr>
    </w:div>
    <w:div w:id="448089204">
      <w:bodyDiv w:val="1"/>
      <w:marLeft w:val="0"/>
      <w:marRight w:val="0"/>
      <w:marTop w:val="0"/>
      <w:marBottom w:val="0"/>
      <w:divBdr>
        <w:top w:val="none" w:sz="0" w:space="0" w:color="auto"/>
        <w:left w:val="none" w:sz="0" w:space="0" w:color="auto"/>
        <w:bottom w:val="none" w:sz="0" w:space="0" w:color="auto"/>
        <w:right w:val="none" w:sz="0" w:space="0" w:color="auto"/>
      </w:divBdr>
    </w:div>
    <w:div w:id="452411021">
      <w:bodyDiv w:val="1"/>
      <w:marLeft w:val="0"/>
      <w:marRight w:val="0"/>
      <w:marTop w:val="0"/>
      <w:marBottom w:val="0"/>
      <w:divBdr>
        <w:top w:val="none" w:sz="0" w:space="0" w:color="auto"/>
        <w:left w:val="none" w:sz="0" w:space="0" w:color="auto"/>
        <w:bottom w:val="none" w:sz="0" w:space="0" w:color="auto"/>
        <w:right w:val="none" w:sz="0" w:space="0" w:color="auto"/>
      </w:divBdr>
    </w:div>
    <w:div w:id="456608261">
      <w:bodyDiv w:val="1"/>
      <w:marLeft w:val="0"/>
      <w:marRight w:val="0"/>
      <w:marTop w:val="0"/>
      <w:marBottom w:val="0"/>
      <w:divBdr>
        <w:top w:val="none" w:sz="0" w:space="0" w:color="auto"/>
        <w:left w:val="none" w:sz="0" w:space="0" w:color="auto"/>
        <w:bottom w:val="none" w:sz="0" w:space="0" w:color="auto"/>
        <w:right w:val="none" w:sz="0" w:space="0" w:color="auto"/>
      </w:divBdr>
    </w:div>
    <w:div w:id="512963220">
      <w:bodyDiv w:val="1"/>
      <w:marLeft w:val="0"/>
      <w:marRight w:val="0"/>
      <w:marTop w:val="0"/>
      <w:marBottom w:val="0"/>
      <w:divBdr>
        <w:top w:val="none" w:sz="0" w:space="0" w:color="auto"/>
        <w:left w:val="none" w:sz="0" w:space="0" w:color="auto"/>
        <w:bottom w:val="none" w:sz="0" w:space="0" w:color="auto"/>
        <w:right w:val="none" w:sz="0" w:space="0" w:color="auto"/>
      </w:divBdr>
    </w:div>
    <w:div w:id="567618975">
      <w:bodyDiv w:val="1"/>
      <w:marLeft w:val="0"/>
      <w:marRight w:val="0"/>
      <w:marTop w:val="0"/>
      <w:marBottom w:val="0"/>
      <w:divBdr>
        <w:top w:val="none" w:sz="0" w:space="0" w:color="auto"/>
        <w:left w:val="none" w:sz="0" w:space="0" w:color="auto"/>
        <w:bottom w:val="none" w:sz="0" w:space="0" w:color="auto"/>
        <w:right w:val="none" w:sz="0" w:space="0" w:color="auto"/>
      </w:divBdr>
    </w:div>
    <w:div w:id="571352003">
      <w:bodyDiv w:val="1"/>
      <w:marLeft w:val="0"/>
      <w:marRight w:val="0"/>
      <w:marTop w:val="0"/>
      <w:marBottom w:val="0"/>
      <w:divBdr>
        <w:top w:val="none" w:sz="0" w:space="0" w:color="auto"/>
        <w:left w:val="none" w:sz="0" w:space="0" w:color="auto"/>
        <w:bottom w:val="none" w:sz="0" w:space="0" w:color="auto"/>
        <w:right w:val="none" w:sz="0" w:space="0" w:color="auto"/>
      </w:divBdr>
    </w:div>
    <w:div w:id="600381312">
      <w:bodyDiv w:val="1"/>
      <w:marLeft w:val="0"/>
      <w:marRight w:val="0"/>
      <w:marTop w:val="0"/>
      <w:marBottom w:val="0"/>
      <w:divBdr>
        <w:top w:val="none" w:sz="0" w:space="0" w:color="auto"/>
        <w:left w:val="none" w:sz="0" w:space="0" w:color="auto"/>
        <w:bottom w:val="none" w:sz="0" w:space="0" w:color="auto"/>
        <w:right w:val="none" w:sz="0" w:space="0" w:color="auto"/>
      </w:divBdr>
    </w:div>
    <w:div w:id="605163103">
      <w:bodyDiv w:val="1"/>
      <w:marLeft w:val="0"/>
      <w:marRight w:val="0"/>
      <w:marTop w:val="0"/>
      <w:marBottom w:val="0"/>
      <w:divBdr>
        <w:top w:val="none" w:sz="0" w:space="0" w:color="auto"/>
        <w:left w:val="none" w:sz="0" w:space="0" w:color="auto"/>
        <w:bottom w:val="none" w:sz="0" w:space="0" w:color="auto"/>
        <w:right w:val="none" w:sz="0" w:space="0" w:color="auto"/>
      </w:divBdr>
    </w:div>
    <w:div w:id="666514704">
      <w:bodyDiv w:val="1"/>
      <w:marLeft w:val="0"/>
      <w:marRight w:val="0"/>
      <w:marTop w:val="0"/>
      <w:marBottom w:val="0"/>
      <w:divBdr>
        <w:top w:val="none" w:sz="0" w:space="0" w:color="auto"/>
        <w:left w:val="none" w:sz="0" w:space="0" w:color="auto"/>
        <w:bottom w:val="none" w:sz="0" w:space="0" w:color="auto"/>
        <w:right w:val="none" w:sz="0" w:space="0" w:color="auto"/>
      </w:divBdr>
    </w:div>
    <w:div w:id="686299497">
      <w:bodyDiv w:val="1"/>
      <w:marLeft w:val="0"/>
      <w:marRight w:val="0"/>
      <w:marTop w:val="0"/>
      <w:marBottom w:val="0"/>
      <w:divBdr>
        <w:top w:val="none" w:sz="0" w:space="0" w:color="auto"/>
        <w:left w:val="none" w:sz="0" w:space="0" w:color="auto"/>
        <w:bottom w:val="none" w:sz="0" w:space="0" w:color="auto"/>
        <w:right w:val="none" w:sz="0" w:space="0" w:color="auto"/>
      </w:divBdr>
    </w:div>
    <w:div w:id="730466515">
      <w:bodyDiv w:val="1"/>
      <w:marLeft w:val="0"/>
      <w:marRight w:val="0"/>
      <w:marTop w:val="0"/>
      <w:marBottom w:val="0"/>
      <w:divBdr>
        <w:top w:val="none" w:sz="0" w:space="0" w:color="auto"/>
        <w:left w:val="none" w:sz="0" w:space="0" w:color="auto"/>
        <w:bottom w:val="none" w:sz="0" w:space="0" w:color="auto"/>
        <w:right w:val="none" w:sz="0" w:space="0" w:color="auto"/>
      </w:divBdr>
    </w:div>
    <w:div w:id="795685473">
      <w:bodyDiv w:val="1"/>
      <w:marLeft w:val="0"/>
      <w:marRight w:val="0"/>
      <w:marTop w:val="0"/>
      <w:marBottom w:val="0"/>
      <w:divBdr>
        <w:top w:val="none" w:sz="0" w:space="0" w:color="auto"/>
        <w:left w:val="none" w:sz="0" w:space="0" w:color="auto"/>
        <w:bottom w:val="none" w:sz="0" w:space="0" w:color="auto"/>
        <w:right w:val="none" w:sz="0" w:space="0" w:color="auto"/>
      </w:divBdr>
    </w:div>
    <w:div w:id="805902078">
      <w:bodyDiv w:val="1"/>
      <w:marLeft w:val="0"/>
      <w:marRight w:val="0"/>
      <w:marTop w:val="0"/>
      <w:marBottom w:val="0"/>
      <w:divBdr>
        <w:top w:val="none" w:sz="0" w:space="0" w:color="auto"/>
        <w:left w:val="none" w:sz="0" w:space="0" w:color="auto"/>
        <w:bottom w:val="none" w:sz="0" w:space="0" w:color="auto"/>
        <w:right w:val="none" w:sz="0" w:space="0" w:color="auto"/>
      </w:divBdr>
    </w:div>
    <w:div w:id="851644482">
      <w:bodyDiv w:val="1"/>
      <w:marLeft w:val="0"/>
      <w:marRight w:val="0"/>
      <w:marTop w:val="0"/>
      <w:marBottom w:val="0"/>
      <w:divBdr>
        <w:top w:val="none" w:sz="0" w:space="0" w:color="auto"/>
        <w:left w:val="none" w:sz="0" w:space="0" w:color="auto"/>
        <w:bottom w:val="none" w:sz="0" w:space="0" w:color="auto"/>
        <w:right w:val="none" w:sz="0" w:space="0" w:color="auto"/>
      </w:divBdr>
    </w:div>
    <w:div w:id="862943770">
      <w:bodyDiv w:val="1"/>
      <w:marLeft w:val="0"/>
      <w:marRight w:val="0"/>
      <w:marTop w:val="0"/>
      <w:marBottom w:val="0"/>
      <w:divBdr>
        <w:top w:val="none" w:sz="0" w:space="0" w:color="auto"/>
        <w:left w:val="none" w:sz="0" w:space="0" w:color="auto"/>
        <w:bottom w:val="none" w:sz="0" w:space="0" w:color="auto"/>
        <w:right w:val="none" w:sz="0" w:space="0" w:color="auto"/>
      </w:divBdr>
    </w:div>
    <w:div w:id="862979300">
      <w:bodyDiv w:val="1"/>
      <w:marLeft w:val="0"/>
      <w:marRight w:val="0"/>
      <w:marTop w:val="0"/>
      <w:marBottom w:val="0"/>
      <w:divBdr>
        <w:top w:val="none" w:sz="0" w:space="0" w:color="auto"/>
        <w:left w:val="none" w:sz="0" w:space="0" w:color="auto"/>
        <w:bottom w:val="none" w:sz="0" w:space="0" w:color="auto"/>
        <w:right w:val="none" w:sz="0" w:space="0" w:color="auto"/>
      </w:divBdr>
    </w:div>
    <w:div w:id="990603122">
      <w:bodyDiv w:val="1"/>
      <w:marLeft w:val="0"/>
      <w:marRight w:val="0"/>
      <w:marTop w:val="0"/>
      <w:marBottom w:val="0"/>
      <w:divBdr>
        <w:top w:val="none" w:sz="0" w:space="0" w:color="auto"/>
        <w:left w:val="none" w:sz="0" w:space="0" w:color="auto"/>
        <w:bottom w:val="none" w:sz="0" w:space="0" w:color="auto"/>
        <w:right w:val="none" w:sz="0" w:space="0" w:color="auto"/>
      </w:divBdr>
    </w:div>
    <w:div w:id="994913090">
      <w:bodyDiv w:val="1"/>
      <w:marLeft w:val="0"/>
      <w:marRight w:val="0"/>
      <w:marTop w:val="0"/>
      <w:marBottom w:val="0"/>
      <w:divBdr>
        <w:top w:val="none" w:sz="0" w:space="0" w:color="auto"/>
        <w:left w:val="none" w:sz="0" w:space="0" w:color="auto"/>
        <w:bottom w:val="none" w:sz="0" w:space="0" w:color="auto"/>
        <w:right w:val="none" w:sz="0" w:space="0" w:color="auto"/>
      </w:divBdr>
    </w:div>
    <w:div w:id="1037394938">
      <w:bodyDiv w:val="1"/>
      <w:marLeft w:val="0"/>
      <w:marRight w:val="0"/>
      <w:marTop w:val="0"/>
      <w:marBottom w:val="0"/>
      <w:divBdr>
        <w:top w:val="none" w:sz="0" w:space="0" w:color="auto"/>
        <w:left w:val="none" w:sz="0" w:space="0" w:color="auto"/>
        <w:bottom w:val="none" w:sz="0" w:space="0" w:color="auto"/>
        <w:right w:val="none" w:sz="0" w:space="0" w:color="auto"/>
      </w:divBdr>
    </w:div>
    <w:div w:id="1043671006">
      <w:bodyDiv w:val="1"/>
      <w:marLeft w:val="0"/>
      <w:marRight w:val="0"/>
      <w:marTop w:val="0"/>
      <w:marBottom w:val="0"/>
      <w:divBdr>
        <w:top w:val="none" w:sz="0" w:space="0" w:color="auto"/>
        <w:left w:val="none" w:sz="0" w:space="0" w:color="auto"/>
        <w:bottom w:val="none" w:sz="0" w:space="0" w:color="auto"/>
        <w:right w:val="none" w:sz="0" w:space="0" w:color="auto"/>
      </w:divBdr>
    </w:div>
    <w:div w:id="1047991730">
      <w:bodyDiv w:val="1"/>
      <w:marLeft w:val="0"/>
      <w:marRight w:val="0"/>
      <w:marTop w:val="0"/>
      <w:marBottom w:val="0"/>
      <w:divBdr>
        <w:top w:val="none" w:sz="0" w:space="0" w:color="auto"/>
        <w:left w:val="none" w:sz="0" w:space="0" w:color="auto"/>
        <w:bottom w:val="none" w:sz="0" w:space="0" w:color="auto"/>
        <w:right w:val="none" w:sz="0" w:space="0" w:color="auto"/>
      </w:divBdr>
    </w:div>
    <w:div w:id="1091657569">
      <w:bodyDiv w:val="1"/>
      <w:marLeft w:val="0"/>
      <w:marRight w:val="0"/>
      <w:marTop w:val="0"/>
      <w:marBottom w:val="0"/>
      <w:divBdr>
        <w:top w:val="none" w:sz="0" w:space="0" w:color="auto"/>
        <w:left w:val="none" w:sz="0" w:space="0" w:color="auto"/>
        <w:bottom w:val="none" w:sz="0" w:space="0" w:color="auto"/>
        <w:right w:val="none" w:sz="0" w:space="0" w:color="auto"/>
      </w:divBdr>
    </w:div>
    <w:div w:id="1157260248">
      <w:bodyDiv w:val="1"/>
      <w:marLeft w:val="0"/>
      <w:marRight w:val="0"/>
      <w:marTop w:val="0"/>
      <w:marBottom w:val="0"/>
      <w:divBdr>
        <w:top w:val="none" w:sz="0" w:space="0" w:color="auto"/>
        <w:left w:val="none" w:sz="0" w:space="0" w:color="auto"/>
        <w:bottom w:val="none" w:sz="0" w:space="0" w:color="auto"/>
        <w:right w:val="none" w:sz="0" w:space="0" w:color="auto"/>
      </w:divBdr>
    </w:div>
    <w:div w:id="1202011689">
      <w:bodyDiv w:val="1"/>
      <w:marLeft w:val="0"/>
      <w:marRight w:val="0"/>
      <w:marTop w:val="0"/>
      <w:marBottom w:val="0"/>
      <w:divBdr>
        <w:top w:val="none" w:sz="0" w:space="0" w:color="auto"/>
        <w:left w:val="none" w:sz="0" w:space="0" w:color="auto"/>
        <w:bottom w:val="none" w:sz="0" w:space="0" w:color="auto"/>
        <w:right w:val="none" w:sz="0" w:space="0" w:color="auto"/>
      </w:divBdr>
    </w:div>
    <w:div w:id="1235704256">
      <w:bodyDiv w:val="1"/>
      <w:marLeft w:val="0"/>
      <w:marRight w:val="0"/>
      <w:marTop w:val="0"/>
      <w:marBottom w:val="0"/>
      <w:divBdr>
        <w:top w:val="none" w:sz="0" w:space="0" w:color="auto"/>
        <w:left w:val="none" w:sz="0" w:space="0" w:color="auto"/>
        <w:bottom w:val="none" w:sz="0" w:space="0" w:color="auto"/>
        <w:right w:val="none" w:sz="0" w:space="0" w:color="auto"/>
      </w:divBdr>
    </w:div>
    <w:div w:id="1245143329">
      <w:bodyDiv w:val="1"/>
      <w:marLeft w:val="0"/>
      <w:marRight w:val="0"/>
      <w:marTop w:val="0"/>
      <w:marBottom w:val="0"/>
      <w:divBdr>
        <w:top w:val="none" w:sz="0" w:space="0" w:color="auto"/>
        <w:left w:val="none" w:sz="0" w:space="0" w:color="auto"/>
        <w:bottom w:val="none" w:sz="0" w:space="0" w:color="auto"/>
        <w:right w:val="none" w:sz="0" w:space="0" w:color="auto"/>
      </w:divBdr>
    </w:div>
    <w:div w:id="1249660270">
      <w:bodyDiv w:val="1"/>
      <w:marLeft w:val="0"/>
      <w:marRight w:val="0"/>
      <w:marTop w:val="0"/>
      <w:marBottom w:val="0"/>
      <w:divBdr>
        <w:top w:val="none" w:sz="0" w:space="0" w:color="auto"/>
        <w:left w:val="none" w:sz="0" w:space="0" w:color="auto"/>
        <w:bottom w:val="none" w:sz="0" w:space="0" w:color="auto"/>
        <w:right w:val="none" w:sz="0" w:space="0" w:color="auto"/>
      </w:divBdr>
    </w:div>
    <w:div w:id="1306203847">
      <w:bodyDiv w:val="1"/>
      <w:marLeft w:val="0"/>
      <w:marRight w:val="0"/>
      <w:marTop w:val="0"/>
      <w:marBottom w:val="0"/>
      <w:divBdr>
        <w:top w:val="none" w:sz="0" w:space="0" w:color="auto"/>
        <w:left w:val="none" w:sz="0" w:space="0" w:color="auto"/>
        <w:bottom w:val="none" w:sz="0" w:space="0" w:color="auto"/>
        <w:right w:val="none" w:sz="0" w:space="0" w:color="auto"/>
      </w:divBdr>
    </w:div>
    <w:div w:id="1308124274">
      <w:bodyDiv w:val="1"/>
      <w:marLeft w:val="0"/>
      <w:marRight w:val="0"/>
      <w:marTop w:val="0"/>
      <w:marBottom w:val="0"/>
      <w:divBdr>
        <w:top w:val="none" w:sz="0" w:space="0" w:color="auto"/>
        <w:left w:val="none" w:sz="0" w:space="0" w:color="auto"/>
        <w:bottom w:val="none" w:sz="0" w:space="0" w:color="auto"/>
        <w:right w:val="none" w:sz="0" w:space="0" w:color="auto"/>
      </w:divBdr>
    </w:div>
    <w:div w:id="1339773708">
      <w:bodyDiv w:val="1"/>
      <w:marLeft w:val="0"/>
      <w:marRight w:val="0"/>
      <w:marTop w:val="0"/>
      <w:marBottom w:val="0"/>
      <w:divBdr>
        <w:top w:val="none" w:sz="0" w:space="0" w:color="auto"/>
        <w:left w:val="none" w:sz="0" w:space="0" w:color="auto"/>
        <w:bottom w:val="none" w:sz="0" w:space="0" w:color="auto"/>
        <w:right w:val="none" w:sz="0" w:space="0" w:color="auto"/>
      </w:divBdr>
    </w:div>
    <w:div w:id="1367873974">
      <w:bodyDiv w:val="1"/>
      <w:marLeft w:val="0"/>
      <w:marRight w:val="0"/>
      <w:marTop w:val="0"/>
      <w:marBottom w:val="0"/>
      <w:divBdr>
        <w:top w:val="none" w:sz="0" w:space="0" w:color="auto"/>
        <w:left w:val="none" w:sz="0" w:space="0" w:color="auto"/>
        <w:bottom w:val="none" w:sz="0" w:space="0" w:color="auto"/>
        <w:right w:val="none" w:sz="0" w:space="0" w:color="auto"/>
      </w:divBdr>
    </w:div>
    <w:div w:id="1425229060">
      <w:bodyDiv w:val="1"/>
      <w:marLeft w:val="0"/>
      <w:marRight w:val="0"/>
      <w:marTop w:val="0"/>
      <w:marBottom w:val="0"/>
      <w:divBdr>
        <w:top w:val="none" w:sz="0" w:space="0" w:color="auto"/>
        <w:left w:val="none" w:sz="0" w:space="0" w:color="auto"/>
        <w:bottom w:val="none" w:sz="0" w:space="0" w:color="auto"/>
        <w:right w:val="none" w:sz="0" w:space="0" w:color="auto"/>
      </w:divBdr>
    </w:div>
    <w:div w:id="1460107085">
      <w:bodyDiv w:val="1"/>
      <w:marLeft w:val="0"/>
      <w:marRight w:val="0"/>
      <w:marTop w:val="0"/>
      <w:marBottom w:val="0"/>
      <w:divBdr>
        <w:top w:val="none" w:sz="0" w:space="0" w:color="auto"/>
        <w:left w:val="none" w:sz="0" w:space="0" w:color="auto"/>
        <w:bottom w:val="none" w:sz="0" w:space="0" w:color="auto"/>
        <w:right w:val="none" w:sz="0" w:space="0" w:color="auto"/>
      </w:divBdr>
    </w:div>
    <w:div w:id="1502623082">
      <w:bodyDiv w:val="1"/>
      <w:marLeft w:val="0"/>
      <w:marRight w:val="0"/>
      <w:marTop w:val="0"/>
      <w:marBottom w:val="0"/>
      <w:divBdr>
        <w:top w:val="none" w:sz="0" w:space="0" w:color="auto"/>
        <w:left w:val="none" w:sz="0" w:space="0" w:color="auto"/>
        <w:bottom w:val="none" w:sz="0" w:space="0" w:color="auto"/>
        <w:right w:val="none" w:sz="0" w:space="0" w:color="auto"/>
      </w:divBdr>
    </w:div>
    <w:div w:id="1621185993">
      <w:bodyDiv w:val="1"/>
      <w:marLeft w:val="0"/>
      <w:marRight w:val="0"/>
      <w:marTop w:val="0"/>
      <w:marBottom w:val="0"/>
      <w:divBdr>
        <w:top w:val="none" w:sz="0" w:space="0" w:color="auto"/>
        <w:left w:val="none" w:sz="0" w:space="0" w:color="auto"/>
        <w:bottom w:val="none" w:sz="0" w:space="0" w:color="auto"/>
        <w:right w:val="none" w:sz="0" w:space="0" w:color="auto"/>
      </w:divBdr>
    </w:div>
    <w:div w:id="1624068723">
      <w:bodyDiv w:val="1"/>
      <w:marLeft w:val="0"/>
      <w:marRight w:val="0"/>
      <w:marTop w:val="0"/>
      <w:marBottom w:val="0"/>
      <w:divBdr>
        <w:top w:val="none" w:sz="0" w:space="0" w:color="auto"/>
        <w:left w:val="none" w:sz="0" w:space="0" w:color="auto"/>
        <w:bottom w:val="none" w:sz="0" w:space="0" w:color="auto"/>
        <w:right w:val="none" w:sz="0" w:space="0" w:color="auto"/>
      </w:divBdr>
    </w:div>
    <w:div w:id="1629622257">
      <w:bodyDiv w:val="1"/>
      <w:marLeft w:val="0"/>
      <w:marRight w:val="0"/>
      <w:marTop w:val="0"/>
      <w:marBottom w:val="0"/>
      <w:divBdr>
        <w:top w:val="none" w:sz="0" w:space="0" w:color="auto"/>
        <w:left w:val="none" w:sz="0" w:space="0" w:color="auto"/>
        <w:bottom w:val="none" w:sz="0" w:space="0" w:color="auto"/>
        <w:right w:val="none" w:sz="0" w:space="0" w:color="auto"/>
      </w:divBdr>
    </w:div>
    <w:div w:id="1629971955">
      <w:bodyDiv w:val="1"/>
      <w:marLeft w:val="0"/>
      <w:marRight w:val="0"/>
      <w:marTop w:val="0"/>
      <w:marBottom w:val="0"/>
      <w:divBdr>
        <w:top w:val="none" w:sz="0" w:space="0" w:color="auto"/>
        <w:left w:val="none" w:sz="0" w:space="0" w:color="auto"/>
        <w:bottom w:val="none" w:sz="0" w:space="0" w:color="auto"/>
        <w:right w:val="none" w:sz="0" w:space="0" w:color="auto"/>
      </w:divBdr>
    </w:div>
    <w:div w:id="1657421063">
      <w:bodyDiv w:val="1"/>
      <w:marLeft w:val="0"/>
      <w:marRight w:val="0"/>
      <w:marTop w:val="0"/>
      <w:marBottom w:val="0"/>
      <w:divBdr>
        <w:top w:val="none" w:sz="0" w:space="0" w:color="auto"/>
        <w:left w:val="none" w:sz="0" w:space="0" w:color="auto"/>
        <w:bottom w:val="none" w:sz="0" w:space="0" w:color="auto"/>
        <w:right w:val="none" w:sz="0" w:space="0" w:color="auto"/>
      </w:divBdr>
      <w:divsChild>
        <w:div w:id="1768959124">
          <w:marLeft w:val="0"/>
          <w:marRight w:val="0"/>
          <w:marTop w:val="0"/>
          <w:marBottom w:val="0"/>
          <w:divBdr>
            <w:top w:val="none" w:sz="0" w:space="0" w:color="auto"/>
            <w:left w:val="none" w:sz="0" w:space="0" w:color="auto"/>
            <w:bottom w:val="none" w:sz="0" w:space="0" w:color="auto"/>
            <w:right w:val="none" w:sz="0" w:space="0" w:color="auto"/>
          </w:divBdr>
        </w:div>
        <w:div w:id="1045715456">
          <w:marLeft w:val="0"/>
          <w:marRight w:val="0"/>
          <w:marTop w:val="0"/>
          <w:marBottom w:val="0"/>
          <w:divBdr>
            <w:top w:val="none" w:sz="0" w:space="0" w:color="auto"/>
            <w:left w:val="none" w:sz="0" w:space="0" w:color="auto"/>
            <w:bottom w:val="none" w:sz="0" w:space="0" w:color="auto"/>
            <w:right w:val="none" w:sz="0" w:space="0" w:color="auto"/>
          </w:divBdr>
        </w:div>
      </w:divsChild>
    </w:div>
    <w:div w:id="1671909835">
      <w:bodyDiv w:val="1"/>
      <w:marLeft w:val="0"/>
      <w:marRight w:val="0"/>
      <w:marTop w:val="0"/>
      <w:marBottom w:val="0"/>
      <w:divBdr>
        <w:top w:val="none" w:sz="0" w:space="0" w:color="auto"/>
        <w:left w:val="none" w:sz="0" w:space="0" w:color="auto"/>
        <w:bottom w:val="none" w:sz="0" w:space="0" w:color="auto"/>
        <w:right w:val="none" w:sz="0" w:space="0" w:color="auto"/>
      </w:divBdr>
    </w:div>
    <w:div w:id="1720008101">
      <w:bodyDiv w:val="1"/>
      <w:marLeft w:val="0"/>
      <w:marRight w:val="0"/>
      <w:marTop w:val="0"/>
      <w:marBottom w:val="0"/>
      <w:divBdr>
        <w:top w:val="none" w:sz="0" w:space="0" w:color="auto"/>
        <w:left w:val="none" w:sz="0" w:space="0" w:color="auto"/>
        <w:bottom w:val="none" w:sz="0" w:space="0" w:color="auto"/>
        <w:right w:val="none" w:sz="0" w:space="0" w:color="auto"/>
      </w:divBdr>
    </w:div>
    <w:div w:id="1770196279">
      <w:bodyDiv w:val="1"/>
      <w:marLeft w:val="0"/>
      <w:marRight w:val="0"/>
      <w:marTop w:val="0"/>
      <w:marBottom w:val="0"/>
      <w:divBdr>
        <w:top w:val="none" w:sz="0" w:space="0" w:color="auto"/>
        <w:left w:val="none" w:sz="0" w:space="0" w:color="auto"/>
        <w:bottom w:val="none" w:sz="0" w:space="0" w:color="auto"/>
        <w:right w:val="none" w:sz="0" w:space="0" w:color="auto"/>
      </w:divBdr>
    </w:div>
    <w:div w:id="1771586923">
      <w:bodyDiv w:val="1"/>
      <w:marLeft w:val="0"/>
      <w:marRight w:val="0"/>
      <w:marTop w:val="0"/>
      <w:marBottom w:val="0"/>
      <w:divBdr>
        <w:top w:val="none" w:sz="0" w:space="0" w:color="auto"/>
        <w:left w:val="none" w:sz="0" w:space="0" w:color="auto"/>
        <w:bottom w:val="none" w:sz="0" w:space="0" w:color="auto"/>
        <w:right w:val="none" w:sz="0" w:space="0" w:color="auto"/>
      </w:divBdr>
    </w:div>
    <w:div w:id="1822577902">
      <w:bodyDiv w:val="1"/>
      <w:marLeft w:val="0"/>
      <w:marRight w:val="0"/>
      <w:marTop w:val="0"/>
      <w:marBottom w:val="0"/>
      <w:divBdr>
        <w:top w:val="none" w:sz="0" w:space="0" w:color="auto"/>
        <w:left w:val="none" w:sz="0" w:space="0" w:color="auto"/>
        <w:bottom w:val="none" w:sz="0" w:space="0" w:color="auto"/>
        <w:right w:val="none" w:sz="0" w:space="0" w:color="auto"/>
      </w:divBdr>
    </w:div>
    <w:div w:id="1830557673">
      <w:bodyDiv w:val="1"/>
      <w:marLeft w:val="0"/>
      <w:marRight w:val="0"/>
      <w:marTop w:val="0"/>
      <w:marBottom w:val="0"/>
      <w:divBdr>
        <w:top w:val="none" w:sz="0" w:space="0" w:color="auto"/>
        <w:left w:val="none" w:sz="0" w:space="0" w:color="auto"/>
        <w:bottom w:val="none" w:sz="0" w:space="0" w:color="auto"/>
        <w:right w:val="none" w:sz="0" w:space="0" w:color="auto"/>
      </w:divBdr>
    </w:div>
    <w:div w:id="1832483489">
      <w:bodyDiv w:val="1"/>
      <w:marLeft w:val="0"/>
      <w:marRight w:val="0"/>
      <w:marTop w:val="0"/>
      <w:marBottom w:val="0"/>
      <w:divBdr>
        <w:top w:val="none" w:sz="0" w:space="0" w:color="auto"/>
        <w:left w:val="none" w:sz="0" w:space="0" w:color="auto"/>
        <w:bottom w:val="none" w:sz="0" w:space="0" w:color="auto"/>
        <w:right w:val="none" w:sz="0" w:space="0" w:color="auto"/>
      </w:divBdr>
    </w:div>
    <w:div w:id="1846746873">
      <w:bodyDiv w:val="1"/>
      <w:marLeft w:val="0"/>
      <w:marRight w:val="0"/>
      <w:marTop w:val="0"/>
      <w:marBottom w:val="0"/>
      <w:divBdr>
        <w:top w:val="none" w:sz="0" w:space="0" w:color="auto"/>
        <w:left w:val="none" w:sz="0" w:space="0" w:color="auto"/>
        <w:bottom w:val="none" w:sz="0" w:space="0" w:color="auto"/>
        <w:right w:val="none" w:sz="0" w:space="0" w:color="auto"/>
      </w:divBdr>
    </w:div>
    <w:div w:id="1938519106">
      <w:bodyDiv w:val="1"/>
      <w:marLeft w:val="0"/>
      <w:marRight w:val="0"/>
      <w:marTop w:val="0"/>
      <w:marBottom w:val="0"/>
      <w:divBdr>
        <w:top w:val="none" w:sz="0" w:space="0" w:color="auto"/>
        <w:left w:val="none" w:sz="0" w:space="0" w:color="auto"/>
        <w:bottom w:val="none" w:sz="0" w:space="0" w:color="auto"/>
        <w:right w:val="none" w:sz="0" w:space="0" w:color="auto"/>
      </w:divBdr>
    </w:div>
    <w:div w:id="1986155140">
      <w:bodyDiv w:val="1"/>
      <w:marLeft w:val="0"/>
      <w:marRight w:val="0"/>
      <w:marTop w:val="0"/>
      <w:marBottom w:val="0"/>
      <w:divBdr>
        <w:top w:val="none" w:sz="0" w:space="0" w:color="auto"/>
        <w:left w:val="none" w:sz="0" w:space="0" w:color="auto"/>
        <w:bottom w:val="none" w:sz="0" w:space="0" w:color="auto"/>
        <w:right w:val="none" w:sz="0" w:space="0" w:color="auto"/>
      </w:divBdr>
    </w:div>
    <w:div w:id="2038848490">
      <w:bodyDiv w:val="1"/>
      <w:marLeft w:val="0"/>
      <w:marRight w:val="0"/>
      <w:marTop w:val="0"/>
      <w:marBottom w:val="0"/>
      <w:divBdr>
        <w:top w:val="none" w:sz="0" w:space="0" w:color="auto"/>
        <w:left w:val="none" w:sz="0" w:space="0" w:color="auto"/>
        <w:bottom w:val="none" w:sz="0" w:space="0" w:color="auto"/>
        <w:right w:val="none" w:sz="0" w:space="0" w:color="auto"/>
      </w:divBdr>
    </w:div>
    <w:div w:id="2092198442">
      <w:bodyDiv w:val="1"/>
      <w:marLeft w:val="0"/>
      <w:marRight w:val="0"/>
      <w:marTop w:val="0"/>
      <w:marBottom w:val="0"/>
      <w:divBdr>
        <w:top w:val="none" w:sz="0" w:space="0" w:color="auto"/>
        <w:left w:val="none" w:sz="0" w:space="0" w:color="auto"/>
        <w:bottom w:val="none" w:sz="0" w:space="0" w:color="auto"/>
        <w:right w:val="none" w:sz="0" w:space="0" w:color="auto"/>
      </w:divBdr>
    </w:div>
    <w:div w:id="21412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6</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 CAYLA</dc:creator>
  <cp:keywords/>
  <dc:description/>
  <cp:lastModifiedBy>Pierre-Louis MERLE</cp:lastModifiedBy>
  <cp:revision>200</cp:revision>
  <dcterms:created xsi:type="dcterms:W3CDTF">2024-01-15T13:12:00Z</dcterms:created>
  <dcterms:modified xsi:type="dcterms:W3CDTF">2024-01-22T11:30:00Z</dcterms:modified>
</cp:coreProperties>
</file>